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Fonts w:hint="cs"/>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5301FE" w:rsidP="00D44968">
            <w:pPr>
              <w:suppressLineNumbers/>
              <w:jc w:val="both"/>
              <w:rPr>
                <w:rFonts w:ascii="Arial" w:hAnsi="Arial"/>
                <w:b/>
                <w:bCs/>
                <w:rtl/>
              </w:rPr>
            </w:pPr>
            <w:r w:rsidRPr="005301FE">
              <w:rPr>
                <w:rFonts w:ascii="Arial" w:hAnsi="Arial" w:hint="cs"/>
                <w:b/>
                <w:bCs/>
                <w:sz w:val="26"/>
                <w:szCs w:val="26"/>
                <w:rtl/>
              </w:rPr>
              <w:t>ל</w:t>
            </w:r>
            <w:r w:rsidR="0094424E" w:rsidRPr="005301FE">
              <w:rPr>
                <w:rFonts w:ascii="Arial" w:hAnsi="Arial"/>
                <w:b/>
                <w:bCs/>
                <w:sz w:val="26"/>
                <w:szCs w:val="26"/>
                <w:rtl/>
              </w:rPr>
              <w:t xml:space="preserve">פני </w:t>
            </w:r>
          </w:p>
        </w:tc>
        <w:tc>
          <w:tcPr>
            <w:tcW w:w="8077" w:type="dxa"/>
            <w:gridSpan w:val="3"/>
          </w:tcPr>
          <w:p w:rsidR="0094424E" w:rsidRDefault="00112421" w:rsidP="00112421">
            <w:pPr>
              <w:rPr>
                <w:rFonts w:ascii="Arial" w:hAnsi="Arial" w:cs="FrankRuehl"/>
                <w:sz w:val="28"/>
                <w:szCs w:val="28"/>
                <w:highlight w:val="yellow"/>
                <w:rtl/>
              </w:rPr>
            </w:pPr>
            <w:r w:rsidRPr="00112421">
              <w:rPr>
                <w:rFonts w:ascii="David" w:eastAsia="Calibri" w:hAnsi="David"/>
                <w:b/>
                <w:bCs/>
                <w:noProof w:val="0"/>
                <w:sz w:val="26"/>
                <w:szCs w:val="26"/>
                <w:rtl/>
              </w:rPr>
              <w:t>כבוד השופט טל פפרני,  סגן הנשיאה</w:t>
            </w:r>
          </w:p>
          <w:p w:rsidR="00575BC0" w:rsidRDefault="00575BC0" w:rsidP="00112421">
            <w:pPr>
              <w:rPr>
                <w:rFonts w:ascii="Arial" w:hAnsi="Arial" w:cs="FrankRuehl"/>
                <w:sz w:val="28"/>
                <w:szCs w:val="28"/>
                <w:highlight w:val="yellow"/>
                <w:rtl/>
              </w:rPr>
            </w:pPr>
          </w:p>
          <w:p w:rsidR="008054F6" w:rsidRPr="00112421" w:rsidRDefault="008054F6" w:rsidP="00112421">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D49BD" w:rsidRDefault="008054F6" w:rsidP="008054F6">
                <w:pPr>
                  <w:suppressLineNumbers/>
                  <w:rPr>
                    <w:rFonts w:ascii="Arial" w:hAnsi="Arial"/>
                    <w:b/>
                    <w:bCs/>
                    <w:noProof w:val="0"/>
                    <w:sz w:val="26"/>
                    <w:szCs w:val="26"/>
                    <w:rtl/>
                  </w:rPr>
                </w:pPr>
                <w:r>
                  <w:rPr>
                    <w:rFonts w:ascii="Arial" w:hAnsi="Arial" w:hint="cs"/>
                    <w:b/>
                    <w:bCs/>
                    <w:noProof w:val="0"/>
                    <w:sz w:val="26"/>
                    <w:szCs w:val="26"/>
                    <w:rtl/>
                  </w:rPr>
                  <w:t>ה</w:t>
                </w:r>
                <w:r w:rsidR="00D04A86">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575BC0" w:rsidRDefault="0056556D" w:rsidP="00575BC0">
            <w:pPr>
              <w:suppressLineNumbers/>
              <w:rPr>
                <w:rFonts w:ascii="Arial" w:hAnsi="Arial"/>
                <w:b/>
                <w:bCs/>
                <w:noProof w:val="0"/>
                <w:sz w:val="26"/>
                <w:szCs w:val="26"/>
              </w:rPr>
            </w:pPr>
            <w:r>
              <w:rPr>
                <w:rFonts w:ascii="Arial" w:hAnsi="Arial" w:hint="cs"/>
                <w:b/>
                <w:bCs/>
                <w:noProof w:val="0"/>
                <w:sz w:val="26"/>
                <w:szCs w:val="26"/>
                <w:rtl/>
              </w:rPr>
              <w:t xml:space="preserve">פלונית ת.ז </w:t>
            </w:r>
            <w:r w:rsidR="00575BC0">
              <w:rPr>
                <w:rFonts w:ascii="Arial" w:hAnsi="Arial" w:hint="cs"/>
                <w:b/>
                <w:bCs/>
                <w:noProof w:val="0"/>
                <w:sz w:val="26"/>
                <w:szCs w:val="26"/>
                <w:rtl/>
              </w:rPr>
              <w:t>......</w:t>
            </w:r>
          </w:p>
          <w:p w:rsidR="00F46A2B" w:rsidRDefault="00F46A2B" w:rsidP="00575BC0">
            <w:pPr>
              <w:suppressLineNumbers/>
              <w:rPr>
                <w:b/>
                <w:bCs/>
                <w:noProof w:val="0"/>
                <w:sz w:val="26"/>
                <w:szCs w:val="26"/>
              </w:rPr>
            </w:pPr>
            <w:r>
              <w:rPr>
                <w:rFonts w:hint="cs"/>
                <w:b/>
                <w:bCs/>
                <w:noProof w:val="0"/>
                <w:sz w:val="26"/>
                <w:szCs w:val="26"/>
                <w:rtl/>
              </w:rPr>
              <w:t>ע"י ב"כ עוה"ד ליאת שקלרז</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723C9" w:rsidP="008054F6">
            <w:pPr>
              <w:suppressLineNumbers/>
              <w:rPr>
                <w:rFonts w:ascii="Arial" w:hAnsi="Arial"/>
                <w:b/>
                <w:bCs/>
                <w:noProof w:val="0"/>
                <w:sz w:val="26"/>
                <w:szCs w:val="26"/>
              </w:rPr>
            </w:pPr>
            <w:sdt>
              <w:sdtPr>
                <w:rPr>
                  <w:rtl/>
                </w:rPr>
                <w:alias w:val="1184"/>
                <w:tag w:val="1184"/>
                <w:id w:val="-340621022"/>
                <w:text w:multiLine="1"/>
              </w:sdtPr>
              <w:sdtEndPr/>
              <w:sdtContent>
                <w:r w:rsidR="008054F6">
                  <w:rPr>
                    <w:rFonts w:ascii="Arial" w:hAnsi="Arial" w:hint="cs"/>
                    <w:b/>
                    <w:bCs/>
                    <w:noProof w:val="0"/>
                    <w:sz w:val="26"/>
                    <w:szCs w:val="26"/>
                    <w:rtl/>
                  </w:rPr>
                  <w:t>ה</w:t>
                </w:r>
                <w:r w:rsidR="005301FE">
                  <w:rPr>
                    <w:rFonts w:ascii="Arial" w:hAnsi="Arial"/>
                    <w:b/>
                    <w:bCs/>
                    <w:noProof w:val="0"/>
                    <w:sz w:val="26"/>
                    <w:szCs w:val="26"/>
                    <w:rtl/>
                  </w:rPr>
                  <w:t>משיב</w:t>
                </w:r>
              </w:sdtContent>
            </w:sdt>
          </w:p>
        </w:tc>
        <w:tc>
          <w:tcPr>
            <w:tcW w:w="5571" w:type="dxa"/>
            <w:gridSpan w:val="2"/>
          </w:tcPr>
          <w:p w:rsidR="0094424E" w:rsidRDefault="0056556D" w:rsidP="00575BC0">
            <w:pPr>
              <w:suppressLineNumbers/>
              <w:rPr>
                <w:rFonts w:ascii="Arial" w:hAnsi="Arial"/>
                <w:b/>
                <w:bCs/>
                <w:noProof w:val="0"/>
                <w:sz w:val="26"/>
                <w:szCs w:val="26"/>
                <w:rtl/>
              </w:rPr>
            </w:pPr>
            <w:r>
              <w:rPr>
                <w:rFonts w:ascii="Arial" w:hAnsi="Arial" w:hint="cs"/>
                <w:b/>
                <w:bCs/>
                <w:noProof w:val="0"/>
                <w:sz w:val="26"/>
                <w:szCs w:val="26"/>
                <w:rtl/>
              </w:rPr>
              <w:t xml:space="preserve">פלוני ת.ז </w:t>
            </w:r>
            <w:r w:rsidR="00575BC0">
              <w:rPr>
                <w:rFonts w:ascii="Arial" w:hAnsi="Arial" w:hint="cs"/>
                <w:b/>
                <w:bCs/>
                <w:noProof w:val="0"/>
                <w:sz w:val="26"/>
                <w:szCs w:val="26"/>
                <w:rtl/>
              </w:rPr>
              <w:t>........</w:t>
            </w:r>
          </w:p>
          <w:p w:rsidR="00F46A2B" w:rsidRPr="00E54CD9" w:rsidRDefault="00F46A2B" w:rsidP="00897DAF">
            <w:pPr>
              <w:suppressLineNumbers/>
              <w:rPr>
                <w:rFonts w:ascii="Arial" w:hAnsi="Arial"/>
                <w:b/>
                <w:bCs/>
                <w:noProof w:val="0"/>
                <w:sz w:val="26"/>
                <w:szCs w:val="26"/>
                <w:rtl/>
              </w:rPr>
            </w:pPr>
            <w:r>
              <w:rPr>
                <w:rFonts w:ascii="Arial" w:hAnsi="Arial" w:hint="cs"/>
                <w:b/>
                <w:bCs/>
                <w:noProof w:val="0"/>
                <w:sz w:val="26"/>
                <w:szCs w:val="26"/>
                <w:rtl/>
              </w:rPr>
              <w:t>ע"י ב"כ עוה"ד שלומית סטרוגנו</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8054F6" w:rsidP="00B1364D">
      <w:pPr>
        <w:spacing w:line="360" w:lineRule="auto"/>
        <w:jc w:val="both"/>
        <w:rPr>
          <w:rFonts w:ascii="Arial" w:hAnsi="Arial"/>
          <w:noProof w:val="0"/>
          <w:rtl/>
        </w:rPr>
      </w:pPr>
      <w:bookmarkStart w:id="0" w:name="NGCSBookmark"/>
      <w:bookmarkEnd w:id="0"/>
      <w:r>
        <w:rPr>
          <w:rFonts w:ascii="Arial" w:hAnsi="Arial" w:hint="cs"/>
          <w:noProof w:val="0"/>
          <w:rtl/>
        </w:rPr>
        <w:t>בקשה לקביעת סמכות</w:t>
      </w:r>
      <w:r w:rsidR="00B1364D">
        <w:rPr>
          <w:rFonts w:ascii="Arial" w:hAnsi="Arial" w:hint="cs"/>
          <w:noProof w:val="0"/>
          <w:rtl/>
        </w:rPr>
        <w:t>,</w:t>
      </w:r>
      <w:r>
        <w:rPr>
          <w:rFonts w:ascii="Arial" w:hAnsi="Arial" w:hint="cs"/>
          <w:noProof w:val="0"/>
          <w:rtl/>
        </w:rPr>
        <w:t xml:space="preserve"> בעניין </w:t>
      </w:r>
      <w:r w:rsidR="00D04A86">
        <w:rPr>
          <w:rFonts w:ascii="Arial" w:hAnsi="Arial" w:hint="cs"/>
          <w:noProof w:val="0"/>
          <w:rtl/>
        </w:rPr>
        <w:t>תביע</w:t>
      </w:r>
      <w:r w:rsidR="00B1364D">
        <w:rPr>
          <w:rFonts w:ascii="Arial" w:hAnsi="Arial" w:hint="cs"/>
          <w:noProof w:val="0"/>
          <w:rtl/>
        </w:rPr>
        <w:t>ה</w:t>
      </w:r>
      <w:r w:rsidR="00D04A86">
        <w:rPr>
          <w:rFonts w:ascii="Arial" w:hAnsi="Arial" w:hint="cs"/>
          <w:noProof w:val="0"/>
          <w:rtl/>
        </w:rPr>
        <w:t xml:space="preserve"> ל</w:t>
      </w:r>
      <w:r>
        <w:rPr>
          <w:rFonts w:ascii="Arial" w:hAnsi="Arial" w:hint="cs"/>
          <w:noProof w:val="0"/>
          <w:rtl/>
        </w:rPr>
        <w:t>מזונות</w:t>
      </w:r>
      <w:r w:rsidR="00D04A86">
        <w:rPr>
          <w:rFonts w:ascii="Arial" w:hAnsi="Arial" w:hint="cs"/>
          <w:noProof w:val="0"/>
          <w:rtl/>
        </w:rPr>
        <w:t xml:space="preserve"> ילדיהם </w:t>
      </w:r>
      <w:r>
        <w:rPr>
          <w:rFonts w:ascii="Arial" w:hAnsi="Arial" w:hint="cs"/>
          <w:noProof w:val="0"/>
          <w:rtl/>
        </w:rPr>
        <w:t>הקטינים</w:t>
      </w:r>
      <w:r w:rsidR="00D04A86">
        <w:rPr>
          <w:rFonts w:ascii="Arial" w:hAnsi="Arial" w:hint="cs"/>
          <w:noProof w:val="0"/>
          <w:rtl/>
        </w:rPr>
        <w:t xml:space="preserve"> של </w:t>
      </w:r>
      <w:r>
        <w:rPr>
          <w:rFonts w:ascii="Arial" w:hAnsi="Arial" w:hint="cs"/>
          <w:noProof w:val="0"/>
          <w:rtl/>
        </w:rPr>
        <w:t>הצדדים.</w:t>
      </w:r>
    </w:p>
    <w:p w:rsidR="00871C0A" w:rsidRDefault="00AA12F3" w:rsidP="0056556D">
      <w:pPr>
        <w:pStyle w:val="ad"/>
        <w:numPr>
          <w:ilvl w:val="0"/>
          <w:numId w:val="1"/>
        </w:numPr>
        <w:spacing w:before="240" w:after="240" w:line="360" w:lineRule="auto"/>
        <w:jc w:val="both"/>
        <w:rPr>
          <w:rFonts w:ascii="Arial" w:hAnsi="Arial"/>
          <w:noProof w:val="0"/>
        </w:rPr>
      </w:pPr>
      <w:r>
        <w:rPr>
          <w:rFonts w:ascii="Arial" w:hAnsi="Arial"/>
          <w:noProof w:val="0"/>
          <w:rtl/>
        </w:rPr>
        <w:t>הצדדים יהודים, נ</w:t>
      </w:r>
      <w:r w:rsidR="0056556D">
        <w:rPr>
          <w:rFonts w:ascii="Arial" w:hAnsi="Arial"/>
          <w:noProof w:val="0"/>
          <w:rtl/>
        </w:rPr>
        <w:t>ישאו זל"ז כדמו"י ביום</w:t>
      </w:r>
      <w:r w:rsidR="0056556D">
        <w:rPr>
          <w:rFonts w:ascii="Arial" w:hAnsi="Arial" w:hint="cs"/>
          <w:noProof w:val="0"/>
        </w:rPr>
        <w:t xml:space="preserve"> ..</w:t>
      </w:r>
      <w:r w:rsidR="0056556D">
        <w:rPr>
          <w:rFonts w:ascii="Arial" w:hAnsi="Arial" w:hint="cs"/>
          <w:noProof w:val="0"/>
          <w:rtl/>
        </w:rPr>
        <w:t>...</w:t>
      </w:r>
      <w:r w:rsidR="0056556D">
        <w:rPr>
          <w:rFonts w:ascii="Arial" w:hAnsi="Arial" w:hint="cs"/>
          <w:noProof w:val="0"/>
        </w:rPr>
        <w:t xml:space="preserve"> </w:t>
      </w:r>
      <w:r w:rsidR="00B1364D">
        <w:rPr>
          <w:rFonts w:ascii="Arial" w:hAnsi="Arial"/>
          <w:noProof w:val="0"/>
          <w:rtl/>
        </w:rPr>
        <w:t>2008</w:t>
      </w:r>
      <w:r w:rsidR="00ED77CD">
        <w:rPr>
          <w:rFonts w:ascii="Arial" w:hAnsi="Arial" w:hint="cs"/>
          <w:noProof w:val="0"/>
          <w:rtl/>
        </w:rPr>
        <w:t xml:space="preserve"> </w:t>
      </w:r>
      <w:r w:rsidR="00B1364D">
        <w:rPr>
          <w:rFonts w:ascii="Arial" w:hAnsi="Arial" w:hint="cs"/>
          <w:noProof w:val="0"/>
          <w:rtl/>
        </w:rPr>
        <w:t xml:space="preserve">ולהם </w:t>
      </w:r>
      <w:r>
        <w:rPr>
          <w:rFonts w:ascii="Arial" w:hAnsi="Arial" w:hint="cs"/>
          <w:noProof w:val="0"/>
          <w:rtl/>
        </w:rPr>
        <w:t>שלש בנות קטינות, ילידות 2012, 2015</w:t>
      </w:r>
      <w:r w:rsidR="00871C0A">
        <w:rPr>
          <w:rFonts w:ascii="Arial" w:hAnsi="Arial" w:hint="cs"/>
          <w:noProof w:val="0"/>
          <w:rtl/>
        </w:rPr>
        <w:t xml:space="preserve">, 2017. </w:t>
      </w:r>
    </w:p>
    <w:p w:rsidR="00AA12F3" w:rsidRDefault="00871C0A" w:rsidP="00871C0A">
      <w:pPr>
        <w:pStyle w:val="ad"/>
        <w:spacing w:before="240" w:after="240" w:line="360" w:lineRule="auto"/>
        <w:jc w:val="both"/>
        <w:rPr>
          <w:rFonts w:ascii="Arial" w:hAnsi="Arial"/>
          <w:noProof w:val="0"/>
        </w:rPr>
      </w:pPr>
      <w:r>
        <w:rPr>
          <w:rFonts w:ascii="Arial" w:hAnsi="Arial" w:hint="cs"/>
          <w:noProof w:val="0"/>
          <w:rtl/>
        </w:rPr>
        <w:t xml:space="preserve"> </w:t>
      </w:r>
    </w:p>
    <w:p w:rsidR="00F46A2B" w:rsidRDefault="00F46A2B" w:rsidP="00F46A2B">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ביום 5/3/23 פנה המשיב והגיש לבית הדין הרבני, </w:t>
      </w:r>
      <w:r w:rsidR="00871C0A">
        <w:rPr>
          <w:rFonts w:ascii="Arial" w:hAnsi="Arial"/>
          <w:noProof w:val="0"/>
          <w:rtl/>
        </w:rPr>
        <w:t>תביע</w:t>
      </w:r>
      <w:r>
        <w:rPr>
          <w:rFonts w:ascii="Arial" w:hAnsi="Arial" w:hint="cs"/>
          <w:noProof w:val="0"/>
          <w:rtl/>
        </w:rPr>
        <w:t>ה</w:t>
      </w:r>
      <w:r w:rsidR="00871C0A">
        <w:rPr>
          <w:rFonts w:ascii="Arial" w:hAnsi="Arial"/>
          <w:noProof w:val="0"/>
          <w:rtl/>
        </w:rPr>
        <w:t xml:space="preserve"> לגירושין</w:t>
      </w:r>
      <w:r>
        <w:rPr>
          <w:rFonts w:ascii="Arial" w:hAnsi="Arial" w:hint="cs"/>
          <w:noProof w:val="0"/>
          <w:rtl/>
        </w:rPr>
        <w:t xml:space="preserve">,  </w:t>
      </w:r>
      <w:r w:rsidR="00871C0A">
        <w:rPr>
          <w:rFonts w:ascii="Arial" w:hAnsi="Arial"/>
          <w:noProof w:val="0"/>
          <w:rtl/>
        </w:rPr>
        <w:t xml:space="preserve">אליה כרך </w:t>
      </w:r>
      <w:bookmarkStart w:id="1" w:name="_Hlk133170358"/>
      <w:r w:rsidR="00871C0A">
        <w:rPr>
          <w:rFonts w:ascii="Arial" w:hAnsi="Arial"/>
          <w:noProof w:val="0"/>
          <w:rtl/>
        </w:rPr>
        <w:t xml:space="preserve">את סוגיות הרכוש המשותף, האחריות ההורית, זמני שהות, מזונות הקטינות </w:t>
      </w:r>
      <w:r>
        <w:rPr>
          <w:rFonts w:ascii="Arial" w:hAnsi="Arial" w:hint="cs"/>
          <w:noProof w:val="0"/>
          <w:rtl/>
        </w:rPr>
        <w:t xml:space="preserve">והאישה </w:t>
      </w:r>
      <w:r w:rsidR="00871C0A">
        <w:rPr>
          <w:rFonts w:ascii="Arial" w:hAnsi="Arial"/>
          <w:noProof w:val="0"/>
          <w:rtl/>
        </w:rPr>
        <w:t>ו</w:t>
      </w:r>
      <w:r>
        <w:rPr>
          <w:rFonts w:ascii="Arial" w:hAnsi="Arial" w:hint="cs"/>
          <w:noProof w:val="0"/>
          <w:rtl/>
        </w:rPr>
        <w:t>ה</w:t>
      </w:r>
      <w:r w:rsidR="00871C0A">
        <w:rPr>
          <w:rFonts w:ascii="Arial" w:hAnsi="Arial"/>
          <w:noProof w:val="0"/>
          <w:rtl/>
        </w:rPr>
        <w:t>מדור</w:t>
      </w:r>
      <w:r>
        <w:rPr>
          <w:rFonts w:ascii="Arial" w:hAnsi="Arial" w:hint="cs"/>
          <w:noProof w:val="0"/>
          <w:rtl/>
        </w:rPr>
        <w:t>.</w:t>
      </w:r>
    </w:p>
    <w:bookmarkEnd w:id="1"/>
    <w:p w:rsidR="00871C0A" w:rsidRPr="00871C0A" w:rsidRDefault="00871C0A" w:rsidP="00871C0A">
      <w:pPr>
        <w:pStyle w:val="ad"/>
        <w:rPr>
          <w:rFonts w:ascii="Arial" w:hAnsi="Arial"/>
          <w:noProof w:val="0"/>
          <w:rtl/>
        </w:rPr>
      </w:pPr>
    </w:p>
    <w:p w:rsidR="00871C0A" w:rsidRDefault="00871C0A" w:rsidP="00ED77CD">
      <w:pPr>
        <w:pStyle w:val="ad"/>
        <w:numPr>
          <w:ilvl w:val="0"/>
          <w:numId w:val="1"/>
        </w:numPr>
        <w:spacing w:line="360" w:lineRule="auto"/>
        <w:jc w:val="both"/>
        <w:rPr>
          <w:rFonts w:ascii="Arial" w:hAnsi="Arial"/>
          <w:noProof w:val="0"/>
        </w:rPr>
      </w:pPr>
      <w:r>
        <w:rPr>
          <w:rFonts w:ascii="Arial" w:hAnsi="Arial" w:hint="cs"/>
          <w:noProof w:val="0"/>
          <w:rtl/>
        </w:rPr>
        <w:t>ביום 21/3/23 הגישה ה</w:t>
      </w:r>
      <w:r w:rsidR="00B1364D">
        <w:rPr>
          <w:rFonts w:ascii="Arial" w:hAnsi="Arial" w:hint="cs"/>
          <w:noProof w:val="0"/>
          <w:rtl/>
        </w:rPr>
        <w:t xml:space="preserve">מבקשת </w:t>
      </w:r>
      <w:r w:rsidR="00D04A86">
        <w:rPr>
          <w:rFonts w:ascii="Arial" w:hAnsi="Arial" w:hint="cs"/>
          <w:noProof w:val="0"/>
          <w:rtl/>
        </w:rPr>
        <w:t xml:space="preserve">לבית משפט זה, </w:t>
      </w:r>
      <w:r>
        <w:rPr>
          <w:rFonts w:ascii="Arial" w:hAnsi="Arial" w:hint="cs"/>
          <w:noProof w:val="0"/>
          <w:rtl/>
        </w:rPr>
        <w:t>תביעה למזונות</w:t>
      </w:r>
      <w:r w:rsidR="00ED77CD">
        <w:rPr>
          <w:rFonts w:ascii="Arial" w:hAnsi="Arial" w:hint="cs"/>
          <w:noProof w:val="0"/>
          <w:rtl/>
        </w:rPr>
        <w:t xml:space="preserve"> </w:t>
      </w:r>
      <w:r>
        <w:rPr>
          <w:rFonts w:ascii="Arial" w:hAnsi="Arial" w:hint="cs"/>
          <w:noProof w:val="0"/>
          <w:rtl/>
        </w:rPr>
        <w:t>הקטינ</w:t>
      </w:r>
      <w:r w:rsidR="00ED77CD">
        <w:rPr>
          <w:rFonts w:ascii="Arial" w:hAnsi="Arial" w:hint="cs"/>
          <w:noProof w:val="0"/>
          <w:rtl/>
        </w:rPr>
        <w:t>ות</w:t>
      </w:r>
      <w:r>
        <w:rPr>
          <w:rFonts w:ascii="Arial" w:hAnsi="Arial" w:hint="cs"/>
          <w:noProof w:val="0"/>
          <w:rtl/>
        </w:rPr>
        <w:t xml:space="preserve">.  </w:t>
      </w:r>
    </w:p>
    <w:p w:rsidR="00871C0A" w:rsidRPr="00D04A86" w:rsidRDefault="00871C0A" w:rsidP="00871C0A">
      <w:pPr>
        <w:pStyle w:val="ad"/>
        <w:spacing w:line="360" w:lineRule="auto"/>
        <w:jc w:val="both"/>
        <w:rPr>
          <w:rFonts w:ascii="Arial" w:hAnsi="Arial"/>
          <w:noProof w:val="0"/>
          <w:rtl/>
        </w:rPr>
      </w:pPr>
    </w:p>
    <w:p w:rsidR="00871C0A" w:rsidRDefault="00871C0A" w:rsidP="00871C0A">
      <w:pPr>
        <w:pStyle w:val="ad"/>
        <w:numPr>
          <w:ilvl w:val="0"/>
          <w:numId w:val="1"/>
        </w:numPr>
        <w:spacing w:before="240" w:after="240" w:line="360" w:lineRule="auto"/>
        <w:jc w:val="both"/>
        <w:rPr>
          <w:rFonts w:ascii="Arial" w:hAnsi="Arial"/>
          <w:noProof w:val="0"/>
        </w:rPr>
      </w:pPr>
      <w:r>
        <w:rPr>
          <w:rFonts w:ascii="Arial" w:hAnsi="Arial" w:hint="cs"/>
          <w:noProof w:val="0"/>
          <w:rtl/>
        </w:rPr>
        <w:t>ביום 28/4/23 ניתנה החלטה למזונות זמניים.</w:t>
      </w:r>
    </w:p>
    <w:p w:rsidR="00871C0A" w:rsidRPr="00871C0A" w:rsidRDefault="00871C0A" w:rsidP="00871C0A">
      <w:pPr>
        <w:pStyle w:val="ad"/>
        <w:rPr>
          <w:rFonts w:ascii="Arial" w:hAnsi="Arial"/>
          <w:noProof w:val="0"/>
          <w:rtl/>
        </w:rPr>
      </w:pPr>
    </w:p>
    <w:p w:rsidR="00F46A2B" w:rsidRDefault="0010262B" w:rsidP="00B1364D">
      <w:pPr>
        <w:pStyle w:val="ad"/>
        <w:numPr>
          <w:ilvl w:val="0"/>
          <w:numId w:val="1"/>
        </w:numPr>
        <w:spacing w:before="240" w:after="240" w:line="360" w:lineRule="auto"/>
        <w:jc w:val="both"/>
        <w:rPr>
          <w:rFonts w:ascii="Arial" w:hAnsi="Arial"/>
          <w:noProof w:val="0"/>
        </w:rPr>
      </w:pPr>
      <w:r w:rsidRPr="0010262B">
        <w:rPr>
          <w:rFonts w:ascii="Arial" w:hAnsi="Arial" w:hint="cs"/>
          <w:noProof w:val="0"/>
          <w:rtl/>
        </w:rPr>
        <w:t xml:space="preserve">הצדדים חלוקים בסוגיית הסמכות העניינית והמקומית.  </w:t>
      </w:r>
    </w:p>
    <w:p w:rsidR="00F46A2B" w:rsidRPr="00F46A2B" w:rsidRDefault="00F46A2B" w:rsidP="00F46A2B">
      <w:pPr>
        <w:pStyle w:val="ad"/>
        <w:rPr>
          <w:rFonts w:ascii="Arial" w:hAnsi="Arial"/>
          <w:noProof w:val="0"/>
          <w:rtl/>
        </w:rPr>
      </w:pPr>
    </w:p>
    <w:p w:rsidR="0010262B" w:rsidRPr="0010262B" w:rsidRDefault="0010262B" w:rsidP="00B1364D">
      <w:pPr>
        <w:pStyle w:val="ad"/>
        <w:numPr>
          <w:ilvl w:val="0"/>
          <w:numId w:val="1"/>
        </w:numPr>
        <w:spacing w:before="240" w:after="240" w:line="360" w:lineRule="auto"/>
        <w:jc w:val="both"/>
        <w:rPr>
          <w:rFonts w:ascii="Arial" w:hAnsi="Arial"/>
          <w:noProof w:val="0"/>
          <w:rtl/>
        </w:rPr>
      </w:pPr>
      <w:r w:rsidRPr="0010262B">
        <w:rPr>
          <w:rFonts w:ascii="Arial" w:hAnsi="Arial" w:hint="cs"/>
          <w:noProof w:val="0"/>
          <w:rtl/>
        </w:rPr>
        <w:t>מח</w:t>
      </w:r>
      <w:r w:rsidR="00A54B42">
        <w:rPr>
          <w:rFonts w:ascii="Arial" w:hAnsi="Arial" w:hint="cs"/>
          <w:noProof w:val="0"/>
          <w:rtl/>
        </w:rPr>
        <w:t>ד</w:t>
      </w:r>
      <w:r w:rsidRPr="0010262B">
        <w:rPr>
          <w:rFonts w:ascii="Arial" w:hAnsi="Arial" w:hint="cs"/>
          <w:noProof w:val="0"/>
          <w:rtl/>
        </w:rPr>
        <w:t xml:space="preserve"> גיסא, מפנה ה</w:t>
      </w:r>
      <w:r w:rsidR="00B1364D">
        <w:rPr>
          <w:rFonts w:ascii="Arial" w:hAnsi="Arial" w:hint="cs"/>
          <w:noProof w:val="0"/>
          <w:rtl/>
        </w:rPr>
        <w:t xml:space="preserve">מבקשת </w:t>
      </w:r>
      <w:r w:rsidRPr="0010262B">
        <w:rPr>
          <w:rFonts w:ascii="Arial" w:hAnsi="Arial" w:hint="cs"/>
          <w:noProof w:val="0"/>
          <w:rtl/>
        </w:rPr>
        <w:t xml:space="preserve">לפסק הדין שניתן בבית המשפט העליון בבע"מ 7628/17,  </w:t>
      </w:r>
      <w:r>
        <w:rPr>
          <w:rFonts w:ascii="Arial" w:hAnsi="Arial" w:hint="cs"/>
          <w:noProof w:val="0"/>
          <w:rtl/>
        </w:rPr>
        <w:t xml:space="preserve">בו נקבע </w:t>
      </w:r>
      <w:r w:rsidRPr="0010262B">
        <w:rPr>
          <w:rFonts w:ascii="Arial" w:hAnsi="Arial" w:hint="cs"/>
          <w:noProof w:val="0"/>
          <w:rtl/>
        </w:rPr>
        <w:t>[דעת הרוב] כדלקמן:</w:t>
      </w:r>
    </w:p>
    <w:p w:rsidR="0010262B" w:rsidRPr="0010262B" w:rsidRDefault="0010262B" w:rsidP="0010262B">
      <w:pPr>
        <w:pStyle w:val="ad"/>
        <w:spacing w:line="360" w:lineRule="auto"/>
        <w:jc w:val="both"/>
        <w:rPr>
          <w:rFonts w:ascii="Arial" w:hAnsi="Arial"/>
          <w:noProof w:val="0"/>
          <w:rtl/>
        </w:rPr>
      </w:pPr>
    </w:p>
    <w:p w:rsidR="0010262B" w:rsidRDefault="0010262B" w:rsidP="0010262B">
      <w:pPr>
        <w:pStyle w:val="ad"/>
        <w:spacing w:line="360" w:lineRule="auto"/>
        <w:ind w:left="1701" w:right="1134"/>
        <w:jc w:val="both"/>
        <w:rPr>
          <w:rFonts w:ascii="David" w:hAnsi="David"/>
          <w:b/>
          <w:bCs/>
          <w:noProof w:val="0"/>
          <w:rtl/>
        </w:rPr>
      </w:pPr>
      <w:r w:rsidRPr="0010262B">
        <w:rPr>
          <w:rFonts w:ascii="David" w:hAnsi="David"/>
          <w:b/>
          <w:bCs/>
          <w:rtl/>
        </w:rPr>
        <w:t xml:space="preserve">"הלכת </w:t>
      </w:r>
      <w:r w:rsidRPr="0010262B">
        <w:rPr>
          <w:rFonts w:ascii="David" w:hAnsi="David"/>
          <w:b/>
          <w:bCs/>
          <w:sz w:val="22"/>
          <w:rtl/>
        </w:rPr>
        <w:t>שרגאי</w:t>
      </w:r>
      <w:r w:rsidRPr="0010262B">
        <w:rPr>
          <w:rFonts w:ascii="David" w:hAnsi="David"/>
          <w:b/>
          <w:bCs/>
          <w:rtl/>
        </w:rPr>
        <w:t xml:space="preserve"> קובעת כי לא ניתן לכרוך תביעה למזונות ילדים בתביעת גירושין לפי </w:t>
      </w:r>
      <w:bookmarkStart w:id="2" w:name="Seif147"/>
      <w:bookmarkEnd w:id="2"/>
      <w:r w:rsidRPr="0010262B">
        <w:rPr>
          <w:rFonts w:ascii="David" w:hAnsi="David"/>
          <w:b/>
          <w:bCs/>
          <w:color w:val="0000FF"/>
          <w:u w:val="single"/>
          <w:rtl/>
        </w:rPr>
        <w:fldChar w:fldCharType="begin"/>
      </w:r>
      <w:r w:rsidRPr="0010262B">
        <w:rPr>
          <w:rFonts w:ascii="David" w:hAnsi="David"/>
          <w:b/>
          <w:bCs/>
          <w:color w:val="0000FF"/>
          <w:u w:val="single"/>
          <w:rtl/>
        </w:rPr>
        <w:instrText xml:space="preserve"> </w:instrText>
      </w:r>
      <w:r w:rsidRPr="0010262B">
        <w:rPr>
          <w:rFonts w:ascii="David" w:hAnsi="David"/>
          <w:b/>
          <w:bCs/>
          <w:color w:val="0000FF"/>
          <w:u w:val="single"/>
        </w:rPr>
        <w:instrText>HYPERLINK "http://www.nevo.co.il/law/73178/3</w:instrText>
      </w:r>
      <w:r w:rsidRPr="0010262B">
        <w:rPr>
          <w:rFonts w:ascii="David" w:hAnsi="David"/>
          <w:b/>
          <w:bCs/>
          <w:color w:val="0000FF"/>
          <w:u w:val="single"/>
          <w:rtl/>
        </w:rPr>
        <w:instrText xml:space="preserve">" </w:instrText>
      </w:r>
      <w:r w:rsidRPr="0010262B">
        <w:rPr>
          <w:rFonts w:ascii="David" w:hAnsi="David"/>
          <w:b/>
          <w:bCs/>
          <w:color w:val="0000FF"/>
          <w:u w:val="single"/>
          <w:rtl/>
        </w:rPr>
        <w:fldChar w:fldCharType="separate"/>
      </w:r>
      <w:r w:rsidRPr="0010262B">
        <w:rPr>
          <w:rStyle w:val="Hyperlink"/>
          <w:rFonts w:ascii="David" w:hAnsi="David"/>
          <w:b/>
          <w:bCs/>
          <w:rtl/>
        </w:rPr>
        <w:t>סעיף 3</w:t>
      </w:r>
      <w:r w:rsidRPr="0010262B">
        <w:rPr>
          <w:rFonts w:ascii="David" w:hAnsi="David"/>
          <w:b/>
          <w:bCs/>
          <w:color w:val="0000FF"/>
          <w:u w:val="single"/>
          <w:rtl/>
        </w:rPr>
        <w:fldChar w:fldCharType="end"/>
      </w:r>
      <w:r w:rsidRPr="0010262B">
        <w:rPr>
          <w:rFonts w:ascii="David" w:hAnsi="David"/>
          <w:b/>
          <w:bCs/>
          <w:rtl/>
        </w:rPr>
        <w:t xml:space="preserve"> לחוק שיפוט בתי דין, אלא רק "תביעה להשבת יציאות".</w:t>
      </w:r>
      <w:r>
        <w:rPr>
          <w:rFonts w:ascii="David" w:hAnsi="David" w:hint="cs"/>
          <w:b/>
          <w:bCs/>
          <w:rtl/>
        </w:rPr>
        <w:t>....</w:t>
      </w:r>
      <w:r w:rsidRPr="0010262B">
        <w:rPr>
          <w:rtl/>
        </w:rPr>
        <w:t xml:space="preserve"> </w:t>
      </w:r>
      <w:r w:rsidRPr="0010262B">
        <w:rPr>
          <w:b/>
          <w:bCs/>
          <w:rtl/>
        </w:rPr>
        <w:t>הלכה זו לא נס ליחה ולא הועם זוהרה, והיא עודנה שרירה וקיימת, וטוב וראוי שכך</w:t>
      </w:r>
      <w:r>
        <w:rPr>
          <w:rFonts w:ascii="David" w:hAnsi="David" w:hint="cs"/>
          <w:b/>
          <w:bCs/>
          <w:rtl/>
        </w:rPr>
        <w:t>"</w:t>
      </w:r>
      <w:r w:rsidRPr="0010262B">
        <w:rPr>
          <w:rFonts w:ascii="David" w:hAnsi="David"/>
          <w:b/>
          <w:bCs/>
          <w:rtl/>
        </w:rPr>
        <w:t xml:space="preserve"> </w:t>
      </w:r>
      <w:r w:rsidRPr="0010262B">
        <w:rPr>
          <w:rFonts w:ascii="David" w:hAnsi="David"/>
          <w:b/>
          <w:bCs/>
          <w:noProof w:val="0"/>
          <w:rtl/>
        </w:rPr>
        <w:t xml:space="preserve"> </w:t>
      </w:r>
    </w:p>
    <w:p w:rsidR="00A54B42" w:rsidRPr="00A54B42" w:rsidRDefault="00A54B42" w:rsidP="00A54B42">
      <w:pPr>
        <w:spacing w:line="360" w:lineRule="auto"/>
        <w:ind w:right="1134"/>
        <w:jc w:val="both"/>
        <w:rPr>
          <w:rFonts w:ascii="David" w:hAnsi="David"/>
          <w:b/>
          <w:bCs/>
          <w:noProof w:val="0"/>
          <w:rtl/>
        </w:rPr>
      </w:pPr>
    </w:p>
    <w:p w:rsidR="00922D82" w:rsidRDefault="00922D82" w:rsidP="00A54B42">
      <w:pPr>
        <w:pStyle w:val="ad"/>
        <w:numPr>
          <w:ilvl w:val="0"/>
          <w:numId w:val="1"/>
        </w:numPr>
        <w:spacing w:before="240" w:after="240" w:line="360" w:lineRule="auto"/>
        <w:jc w:val="both"/>
        <w:rPr>
          <w:rFonts w:ascii="Arial" w:hAnsi="Arial"/>
          <w:noProof w:val="0"/>
        </w:rPr>
      </w:pPr>
      <w:r w:rsidRPr="00A54B42">
        <w:rPr>
          <w:rFonts w:ascii="Arial" w:hAnsi="Arial" w:hint="cs"/>
          <w:noProof w:val="0"/>
          <w:rtl/>
        </w:rPr>
        <w:t>בהלכת שרגאי [בר"ע 120/69, פורסם במאגרים המקוונים], נקבע כדלקמן:</w:t>
      </w:r>
    </w:p>
    <w:p w:rsidR="00A54B42" w:rsidRPr="00922D82" w:rsidRDefault="00A54B42" w:rsidP="00A54B42">
      <w:pPr>
        <w:pStyle w:val="Ruller5"/>
        <w:rPr>
          <w:rFonts w:ascii="David" w:hAnsi="David" w:cs="David"/>
          <w:b/>
          <w:bCs/>
          <w:sz w:val="24"/>
          <w:szCs w:val="24"/>
        </w:rPr>
      </w:pPr>
      <w:r w:rsidRPr="00922D82">
        <w:rPr>
          <w:rFonts w:ascii="David" w:hAnsi="David" w:cs="David"/>
          <w:b/>
          <w:bCs/>
          <w:sz w:val="24"/>
          <w:szCs w:val="24"/>
          <w:rtl/>
        </w:rPr>
        <w:t>"...ניתן</w:t>
      </w:r>
      <w:r w:rsidRPr="00922D82">
        <w:rPr>
          <w:rFonts w:ascii="David" w:hAnsi="David" w:cs="David"/>
          <w:b/>
          <w:bCs/>
          <w:sz w:val="24"/>
          <w:szCs w:val="24"/>
        </w:rPr>
        <w:t xml:space="preserve"> </w:t>
      </w:r>
      <w:r w:rsidRPr="00922D82">
        <w:rPr>
          <w:rFonts w:ascii="David" w:hAnsi="David" w:cs="David"/>
          <w:b/>
          <w:bCs/>
          <w:sz w:val="24"/>
          <w:szCs w:val="24"/>
          <w:rtl/>
        </w:rPr>
        <w:t>לתבוע</w:t>
      </w:r>
      <w:r w:rsidRPr="00922D82">
        <w:rPr>
          <w:rFonts w:ascii="David" w:hAnsi="David" w:cs="David"/>
          <w:b/>
          <w:bCs/>
          <w:sz w:val="24"/>
          <w:szCs w:val="24"/>
        </w:rPr>
        <w:t xml:space="preserve"> </w:t>
      </w:r>
      <w:r w:rsidRPr="00922D82">
        <w:rPr>
          <w:rFonts w:ascii="David" w:hAnsi="David" w:cs="David"/>
          <w:b/>
          <w:bCs/>
          <w:sz w:val="24"/>
          <w:szCs w:val="24"/>
          <w:rtl/>
        </w:rPr>
        <w:t>מזונות</w:t>
      </w:r>
      <w:r w:rsidRPr="00922D82">
        <w:rPr>
          <w:rFonts w:ascii="David" w:hAnsi="David" w:cs="David"/>
          <w:b/>
          <w:bCs/>
          <w:sz w:val="24"/>
          <w:szCs w:val="24"/>
        </w:rPr>
        <w:t xml:space="preserve"> </w:t>
      </w:r>
      <w:r w:rsidRPr="00922D82">
        <w:rPr>
          <w:rFonts w:ascii="David" w:hAnsi="David" w:cs="David"/>
          <w:b/>
          <w:bCs/>
          <w:sz w:val="24"/>
          <w:szCs w:val="24"/>
          <w:rtl/>
        </w:rPr>
        <w:t>לילדים</w:t>
      </w:r>
      <w:r w:rsidRPr="00922D82">
        <w:rPr>
          <w:rFonts w:ascii="David" w:hAnsi="David" w:cs="David"/>
          <w:b/>
          <w:bCs/>
          <w:sz w:val="24"/>
          <w:szCs w:val="24"/>
        </w:rPr>
        <w:t xml:space="preserve"> </w:t>
      </w:r>
      <w:r w:rsidRPr="00922D82">
        <w:rPr>
          <w:rFonts w:ascii="David" w:hAnsi="David" w:cs="David"/>
          <w:b/>
          <w:bCs/>
          <w:sz w:val="24"/>
          <w:szCs w:val="24"/>
          <w:rtl/>
        </w:rPr>
        <w:t>בשתי</w:t>
      </w:r>
      <w:r w:rsidRPr="00922D82">
        <w:rPr>
          <w:rFonts w:ascii="David" w:hAnsi="David" w:cs="David"/>
          <w:b/>
          <w:bCs/>
          <w:sz w:val="24"/>
          <w:szCs w:val="24"/>
        </w:rPr>
        <w:t xml:space="preserve"> </w:t>
      </w:r>
      <w:r w:rsidRPr="00922D82">
        <w:rPr>
          <w:rFonts w:ascii="David" w:hAnsi="David" w:cs="David"/>
          <w:b/>
          <w:bCs/>
          <w:sz w:val="24"/>
          <w:szCs w:val="24"/>
          <w:rtl/>
        </w:rPr>
        <w:t xml:space="preserve">דרכים. </w:t>
      </w:r>
      <w:r w:rsidRPr="00922D82">
        <w:rPr>
          <w:rFonts w:ascii="David" w:hAnsi="David" w:cs="David"/>
          <w:b/>
          <w:bCs/>
          <w:spacing w:val="0"/>
          <w:sz w:val="24"/>
          <w:szCs w:val="24"/>
          <w:rtl/>
        </w:rPr>
        <w:t>ההורה</w:t>
      </w:r>
      <w:r w:rsidRPr="00922D82">
        <w:rPr>
          <w:rFonts w:ascii="David" w:hAnsi="David" w:cs="David"/>
          <w:b/>
          <w:bCs/>
          <w:sz w:val="24"/>
          <w:szCs w:val="24"/>
          <w:rtl/>
        </w:rPr>
        <w:t xml:space="preserve">, המוציא (או העומד להוציא) </w:t>
      </w:r>
      <w:r w:rsidRPr="00D45EB2">
        <w:rPr>
          <w:rFonts w:ascii="David" w:hAnsi="David" w:cs="David"/>
          <w:b/>
          <w:bCs/>
          <w:sz w:val="24"/>
          <w:szCs w:val="24"/>
          <w:u w:val="single"/>
          <w:rtl/>
        </w:rPr>
        <w:t>יציאות למזונות הילד</w:t>
      </w:r>
      <w:r w:rsidRPr="00922D82">
        <w:rPr>
          <w:rFonts w:ascii="David" w:hAnsi="David" w:cs="David"/>
          <w:b/>
          <w:bCs/>
          <w:sz w:val="24"/>
          <w:szCs w:val="24"/>
          <w:rtl/>
        </w:rPr>
        <w:t>, יכול</w:t>
      </w:r>
      <w:r w:rsidRPr="00922D82">
        <w:rPr>
          <w:rFonts w:ascii="David" w:hAnsi="David" w:cs="David"/>
          <w:b/>
          <w:bCs/>
          <w:sz w:val="24"/>
          <w:szCs w:val="24"/>
        </w:rPr>
        <w:t xml:space="preserve"> </w:t>
      </w:r>
      <w:r w:rsidRPr="00922D82">
        <w:rPr>
          <w:rFonts w:ascii="David" w:hAnsi="David" w:cs="David"/>
          <w:b/>
          <w:bCs/>
          <w:sz w:val="24"/>
          <w:szCs w:val="24"/>
          <w:rtl/>
        </w:rPr>
        <w:t>לתבוע</w:t>
      </w:r>
      <w:r w:rsidRPr="00922D82">
        <w:rPr>
          <w:rFonts w:ascii="David" w:hAnsi="David" w:cs="David"/>
          <w:b/>
          <w:bCs/>
          <w:sz w:val="24"/>
          <w:szCs w:val="24"/>
        </w:rPr>
        <w:t xml:space="preserve"> </w:t>
      </w:r>
      <w:r w:rsidRPr="00922D82">
        <w:rPr>
          <w:rFonts w:ascii="David" w:hAnsi="David" w:cs="David"/>
          <w:b/>
          <w:bCs/>
          <w:spacing w:val="0"/>
          <w:sz w:val="24"/>
          <w:szCs w:val="24"/>
          <w:rtl/>
        </w:rPr>
        <w:t>השבתם</w:t>
      </w:r>
      <w:r w:rsidRPr="00922D82">
        <w:rPr>
          <w:rFonts w:ascii="David" w:hAnsi="David" w:cs="David"/>
          <w:b/>
          <w:bCs/>
          <w:sz w:val="24"/>
          <w:szCs w:val="24"/>
        </w:rPr>
        <w:t xml:space="preserve"> </w:t>
      </w:r>
      <w:r w:rsidRPr="00922D82">
        <w:rPr>
          <w:rFonts w:ascii="David" w:hAnsi="David" w:cs="David"/>
          <w:b/>
          <w:bCs/>
          <w:sz w:val="24"/>
          <w:szCs w:val="24"/>
          <w:rtl/>
        </w:rPr>
        <w:t>ממי</w:t>
      </w:r>
      <w:r w:rsidRPr="00922D82">
        <w:rPr>
          <w:rFonts w:ascii="David" w:hAnsi="David" w:cs="David"/>
          <w:b/>
          <w:bCs/>
          <w:sz w:val="24"/>
          <w:szCs w:val="24"/>
        </w:rPr>
        <w:t xml:space="preserve"> </w:t>
      </w:r>
      <w:r w:rsidRPr="00922D82">
        <w:rPr>
          <w:rFonts w:ascii="David" w:hAnsi="David" w:cs="David"/>
          <w:b/>
          <w:bCs/>
          <w:sz w:val="24"/>
          <w:szCs w:val="24"/>
          <w:rtl/>
        </w:rPr>
        <w:t>שחייב לזון את הילד, ואם הייתה האישה תובעת גט, יכול</w:t>
      </w:r>
      <w:r w:rsidRPr="00922D82">
        <w:rPr>
          <w:rFonts w:ascii="David" w:hAnsi="David" w:cs="David"/>
          <w:b/>
          <w:bCs/>
          <w:sz w:val="24"/>
          <w:szCs w:val="24"/>
        </w:rPr>
        <w:t xml:space="preserve"> </w:t>
      </w:r>
      <w:r w:rsidRPr="00922D82">
        <w:rPr>
          <w:rFonts w:ascii="David" w:hAnsi="David" w:cs="David"/>
          <w:b/>
          <w:bCs/>
          <w:sz w:val="24"/>
          <w:szCs w:val="24"/>
          <w:rtl/>
        </w:rPr>
        <w:t>שתביעת</w:t>
      </w:r>
      <w:r w:rsidRPr="00922D82">
        <w:rPr>
          <w:rFonts w:ascii="David" w:hAnsi="David" w:cs="David"/>
          <w:b/>
          <w:bCs/>
          <w:sz w:val="24"/>
          <w:szCs w:val="24"/>
        </w:rPr>
        <w:t xml:space="preserve"> </w:t>
      </w:r>
      <w:r w:rsidRPr="00922D82">
        <w:rPr>
          <w:rFonts w:ascii="David" w:hAnsi="David" w:cs="David"/>
          <w:b/>
          <w:bCs/>
          <w:sz w:val="24"/>
          <w:szCs w:val="24"/>
          <w:rtl/>
        </w:rPr>
        <w:t>מזונות</w:t>
      </w:r>
      <w:r w:rsidRPr="00922D82">
        <w:rPr>
          <w:rFonts w:ascii="David" w:hAnsi="David" w:cs="David"/>
          <w:b/>
          <w:bCs/>
          <w:sz w:val="24"/>
          <w:szCs w:val="24"/>
        </w:rPr>
        <w:t xml:space="preserve"> </w:t>
      </w:r>
      <w:r w:rsidRPr="00922D82">
        <w:rPr>
          <w:rFonts w:ascii="David" w:hAnsi="David" w:cs="David"/>
          <w:b/>
          <w:bCs/>
          <w:sz w:val="24"/>
          <w:szCs w:val="24"/>
          <w:rtl/>
        </w:rPr>
        <w:t>שכזאת</w:t>
      </w:r>
      <w:r w:rsidRPr="00922D82">
        <w:rPr>
          <w:rFonts w:ascii="David" w:hAnsi="David" w:cs="David"/>
          <w:b/>
          <w:bCs/>
          <w:sz w:val="24"/>
          <w:szCs w:val="24"/>
        </w:rPr>
        <w:t xml:space="preserve"> </w:t>
      </w:r>
      <w:r w:rsidRPr="00922D82">
        <w:rPr>
          <w:rFonts w:ascii="David" w:hAnsi="David" w:cs="David"/>
          <w:b/>
          <w:bCs/>
          <w:sz w:val="24"/>
          <w:szCs w:val="24"/>
          <w:rtl/>
        </w:rPr>
        <w:t>תהא</w:t>
      </w:r>
      <w:r w:rsidRPr="00922D82">
        <w:rPr>
          <w:rFonts w:ascii="David" w:hAnsi="David" w:cs="David"/>
          <w:b/>
          <w:bCs/>
          <w:sz w:val="24"/>
          <w:szCs w:val="24"/>
        </w:rPr>
        <w:t xml:space="preserve"> </w:t>
      </w:r>
      <w:r w:rsidRPr="00922D82">
        <w:rPr>
          <w:rFonts w:ascii="David" w:hAnsi="David" w:cs="David"/>
          <w:b/>
          <w:bCs/>
          <w:sz w:val="24"/>
          <w:szCs w:val="24"/>
          <w:rtl/>
        </w:rPr>
        <w:t>כרוכה בתביעת גירושים, ועקב כך</w:t>
      </w:r>
      <w:r w:rsidRPr="00922D82">
        <w:rPr>
          <w:rFonts w:ascii="David" w:hAnsi="David" w:cs="David"/>
          <w:b/>
          <w:bCs/>
          <w:sz w:val="24"/>
          <w:szCs w:val="24"/>
        </w:rPr>
        <w:t xml:space="preserve"> </w:t>
      </w:r>
      <w:r w:rsidRPr="00922D82">
        <w:rPr>
          <w:rFonts w:ascii="David" w:hAnsi="David" w:cs="David"/>
          <w:b/>
          <w:bCs/>
          <w:sz w:val="24"/>
          <w:szCs w:val="24"/>
          <w:rtl/>
        </w:rPr>
        <w:t>תהא</w:t>
      </w:r>
      <w:r w:rsidRPr="00922D82">
        <w:rPr>
          <w:rFonts w:ascii="David" w:hAnsi="David" w:cs="David"/>
          <w:b/>
          <w:bCs/>
          <w:sz w:val="24"/>
          <w:szCs w:val="24"/>
        </w:rPr>
        <w:t xml:space="preserve"> </w:t>
      </w:r>
      <w:r w:rsidRPr="00922D82">
        <w:rPr>
          <w:rFonts w:ascii="David" w:hAnsi="David" w:cs="David"/>
          <w:b/>
          <w:bCs/>
          <w:sz w:val="24"/>
          <w:szCs w:val="24"/>
          <w:rtl/>
        </w:rPr>
        <w:t>בסמכותו</w:t>
      </w:r>
      <w:r w:rsidRPr="00922D82">
        <w:rPr>
          <w:rFonts w:ascii="David" w:hAnsi="David" w:cs="David"/>
          <w:b/>
          <w:bCs/>
          <w:sz w:val="24"/>
          <w:szCs w:val="24"/>
        </w:rPr>
        <w:t xml:space="preserve"> </w:t>
      </w:r>
      <w:r w:rsidRPr="00922D82">
        <w:rPr>
          <w:rFonts w:ascii="David" w:hAnsi="David" w:cs="David"/>
          <w:b/>
          <w:bCs/>
          <w:sz w:val="24"/>
          <w:szCs w:val="24"/>
          <w:rtl/>
        </w:rPr>
        <w:t>הייחודית</w:t>
      </w:r>
      <w:r w:rsidRPr="00922D82">
        <w:rPr>
          <w:rFonts w:ascii="David" w:hAnsi="David" w:cs="David"/>
          <w:b/>
          <w:bCs/>
          <w:sz w:val="24"/>
          <w:szCs w:val="24"/>
        </w:rPr>
        <w:t xml:space="preserve"> </w:t>
      </w:r>
      <w:r w:rsidRPr="00922D82">
        <w:rPr>
          <w:rFonts w:ascii="David" w:hAnsi="David" w:cs="David"/>
          <w:b/>
          <w:bCs/>
          <w:sz w:val="24"/>
          <w:szCs w:val="24"/>
          <w:rtl/>
        </w:rPr>
        <w:t>של</w:t>
      </w:r>
      <w:r w:rsidRPr="00922D82">
        <w:rPr>
          <w:rFonts w:ascii="David" w:hAnsi="David" w:cs="David"/>
          <w:b/>
          <w:bCs/>
          <w:sz w:val="24"/>
          <w:szCs w:val="24"/>
        </w:rPr>
        <w:t xml:space="preserve"> </w:t>
      </w:r>
      <w:r w:rsidRPr="00922D82">
        <w:rPr>
          <w:rFonts w:ascii="David" w:hAnsi="David" w:cs="David"/>
          <w:b/>
          <w:bCs/>
          <w:sz w:val="24"/>
          <w:szCs w:val="24"/>
          <w:rtl/>
        </w:rPr>
        <w:t>בית־הדין</w:t>
      </w:r>
      <w:r w:rsidRPr="00922D82">
        <w:rPr>
          <w:rFonts w:ascii="David" w:hAnsi="David" w:cs="David"/>
          <w:b/>
          <w:bCs/>
          <w:sz w:val="24"/>
          <w:szCs w:val="24"/>
        </w:rPr>
        <w:t xml:space="preserve"> </w:t>
      </w:r>
      <w:r w:rsidRPr="00922D82">
        <w:rPr>
          <w:rFonts w:ascii="David" w:hAnsi="David" w:cs="David"/>
          <w:b/>
          <w:bCs/>
          <w:sz w:val="24"/>
          <w:szCs w:val="24"/>
          <w:rtl/>
        </w:rPr>
        <w:t xml:space="preserve">הרבני, מכוח </w:t>
      </w:r>
      <w:bookmarkStart w:id="3" w:name="Seif47"/>
      <w:r w:rsidRPr="00922D82">
        <w:rPr>
          <w:rFonts w:ascii="David" w:hAnsi="David" w:cs="David"/>
          <w:b/>
          <w:bCs/>
          <w:sz w:val="24"/>
          <w:szCs w:val="24"/>
          <w:rtl/>
        </w:rPr>
        <w:t xml:space="preserve">סעיף </w:t>
      </w:r>
      <w:bookmarkEnd w:id="3"/>
      <w:r w:rsidRPr="00922D82">
        <w:rPr>
          <w:rFonts w:ascii="David" w:hAnsi="David" w:cs="David"/>
          <w:b/>
          <w:bCs/>
          <w:sz w:val="24"/>
          <w:szCs w:val="24"/>
          <w:rtl/>
        </w:rPr>
        <w:t>3 לחוק שיפוט בתי-דין רבניים...</w:t>
      </w:r>
    </w:p>
    <w:p w:rsidR="00A54B42" w:rsidRPr="00922D82" w:rsidRDefault="00A54B42" w:rsidP="00A54B42">
      <w:pPr>
        <w:pStyle w:val="Ruller5"/>
        <w:rPr>
          <w:rFonts w:ascii="David" w:hAnsi="David" w:cs="David"/>
          <w:b/>
          <w:bCs/>
          <w:sz w:val="24"/>
          <w:szCs w:val="24"/>
          <w:rtl/>
        </w:rPr>
      </w:pPr>
      <w:r w:rsidRPr="00D45EB2">
        <w:rPr>
          <w:rFonts w:ascii="David" w:hAnsi="David" w:cs="David"/>
          <w:b/>
          <w:bCs/>
          <w:sz w:val="24"/>
          <w:szCs w:val="24"/>
          <w:u w:val="single"/>
          <w:rtl/>
        </w:rPr>
        <w:t>תביעת</w:t>
      </w:r>
      <w:r w:rsidRPr="00D45EB2">
        <w:rPr>
          <w:rFonts w:ascii="David" w:hAnsi="David" w:cs="David"/>
          <w:b/>
          <w:bCs/>
          <w:sz w:val="24"/>
          <w:szCs w:val="24"/>
          <w:u w:val="single"/>
        </w:rPr>
        <w:t xml:space="preserve"> </w:t>
      </w:r>
      <w:r w:rsidRPr="00D45EB2">
        <w:rPr>
          <w:rFonts w:ascii="David" w:hAnsi="David" w:cs="David"/>
          <w:b/>
          <w:bCs/>
          <w:sz w:val="24"/>
          <w:szCs w:val="24"/>
          <w:u w:val="single"/>
          <w:rtl/>
        </w:rPr>
        <w:t>מזונות</w:t>
      </w:r>
      <w:r w:rsidRPr="00D45EB2">
        <w:rPr>
          <w:rFonts w:ascii="David" w:hAnsi="David" w:cs="David"/>
          <w:b/>
          <w:bCs/>
          <w:sz w:val="24"/>
          <w:szCs w:val="24"/>
          <w:u w:val="single"/>
        </w:rPr>
        <w:t xml:space="preserve"> </w:t>
      </w:r>
      <w:r w:rsidRPr="00D45EB2">
        <w:rPr>
          <w:rFonts w:ascii="David" w:hAnsi="David" w:cs="David"/>
          <w:b/>
          <w:bCs/>
          <w:sz w:val="24"/>
          <w:szCs w:val="24"/>
          <w:u w:val="single"/>
          <w:rtl/>
        </w:rPr>
        <w:t>של</w:t>
      </w:r>
      <w:r w:rsidRPr="00D45EB2">
        <w:rPr>
          <w:rFonts w:ascii="David" w:hAnsi="David" w:cs="David"/>
          <w:b/>
          <w:bCs/>
          <w:sz w:val="24"/>
          <w:szCs w:val="24"/>
          <w:u w:val="single"/>
        </w:rPr>
        <w:t xml:space="preserve"> </w:t>
      </w:r>
      <w:r w:rsidRPr="00D45EB2">
        <w:rPr>
          <w:rFonts w:ascii="David" w:hAnsi="David" w:cs="David"/>
          <w:b/>
          <w:bCs/>
          <w:sz w:val="24"/>
          <w:szCs w:val="24"/>
          <w:u w:val="single"/>
          <w:rtl/>
        </w:rPr>
        <w:t>הילד</w:t>
      </w:r>
      <w:r w:rsidRPr="00922D82">
        <w:rPr>
          <w:rFonts w:ascii="David" w:hAnsi="David" w:cs="David"/>
          <w:b/>
          <w:bCs/>
          <w:sz w:val="24"/>
          <w:szCs w:val="24"/>
          <w:rtl/>
        </w:rPr>
        <w:t>...לעולם</w:t>
      </w:r>
      <w:r w:rsidRPr="00922D82">
        <w:rPr>
          <w:rFonts w:ascii="David" w:hAnsi="David" w:cs="David"/>
          <w:b/>
          <w:bCs/>
          <w:sz w:val="24"/>
          <w:szCs w:val="24"/>
        </w:rPr>
        <w:t xml:space="preserve"> </w:t>
      </w:r>
      <w:r w:rsidRPr="00922D82">
        <w:rPr>
          <w:rFonts w:ascii="David" w:hAnsi="David" w:cs="David"/>
          <w:b/>
          <w:bCs/>
          <w:sz w:val="24"/>
          <w:szCs w:val="24"/>
          <w:rtl/>
        </w:rPr>
        <w:t>לא</w:t>
      </w:r>
      <w:r w:rsidRPr="00922D82">
        <w:rPr>
          <w:rFonts w:ascii="David" w:hAnsi="David" w:cs="David"/>
          <w:b/>
          <w:bCs/>
          <w:sz w:val="24"/>
          <w:szCs w:val="24"/>
        </w:rPr>
        <w:t xml:space="preserve"> </w:t>
      </w:r>
      <w:r w:rsidRPr="00922D82">
        <w:rPr>
          <w:rFonts w:ascii="David" w:hAnsi="David" w:cs="David"/>
          <w:b/>
          <w:bCs/>
          <w:sz w:val="24"/>
          <w:szCs w:val="24"/>
          <w:rtl/>
        </w:rPr>
        <w:t>תהא</w:t>
      </w:r>
      <w:r w:rsidRPr="00922D82">
        <w:rPr>
          <w:rFonts w:ascii="David" w:hAnsi="David" w:cs="David"/>
          <w:b/>
          <w:bCs/>
          <w:sz w:val="24"/>
          <w:szCs w:val="24"/>
        </w:rPr>
        <w:t xml:space="preserve"> </w:t>
      </w:r>
      <w:r w:rsidRPr="00922D82">
        <w:rPr>
          <w:rFonts w:ascii="David" w:hAnsi="David" w:cs="David"/>
          <w:b/>
          <w:bCs/>
          <w:sz w:val="24"/>
          <w:szCs w:val="24"/>
          <w:rtl/>
        </w:rPr>
        <w:t>בגדר</w:t>
      </w:r>
      <w:r w:rsidRPr="00922D82">
        <w:rPr>
          <w:rFonts w:ascii="David" w:hAnsi="David" w:cs="David"/>
          <w:b/>
          <w:bCs/>
          <w:sz w:val="24"/>
          <w:szCs w:val="24"/>
        </w:rPr>
        <w:t xml:space="preserve"> </w:t>
      </w:r>
      <w:r w:rsidRPr="00922D82">
        <w:rPr>
          <w:rFonts w:ascii="David" w:hAnsi="David" w:cs="David"/>
          <w:b/>
          <w:bCs/>
          <w:sz w:val="24"/>
          <w:szCs w:val="24"/>
          <w:rtl/>
        </w:rPr>
        <w:t>סמכותו הייחודית של בית־הדין</w:t>
      </w:r>
      <w:r w:rsidRPr="00922D82">
        <w:rPr>
          <w:rFonts w:ascii="David" w:hAnsi="David" w:cs="David"/>
          <w:b/>
          <w:bCs/>
          <w:sz w:val="24"/>
          <w:szCs w:val="24"/>
        </w:rPr>
        <w:t xml:space="preserve"> </w:t>
      </w:r>
      <w:r w:rsidRPr="00922D82">
        <w:rPr>
          <w:rFonts w:ascii="David" w:hAnsi="David" w:cs="David"/>
          <w:b/>
          <w:bCs/>
          <w:sz w:val="24"/>
          <w:szCs w:val="24"/>
          <w:rtl/>
        </w:rPr>
        <w:t>הרבני...[ו]אינה</w:t>
      </w:r>
      <w:r w:rsidRPr="00922D82">
        <w:rPr>
          <w:rFonts w:ascii="David" w:hAnsi="David" w:cs="David"/>
          <w:b/>
          <w:bCs/>
          <w:sz w:val="24"/>
          <w:szCs w:val="24"/>
        </w:rPr>
        <w:t xml:space="preserve"> </w:t>
      </w:r>
      <w:r w:rsidRPr="00922D82">
        <w:rPr>
          <w:rFonts w:ascii="David" w:hAnsi="David" w:cs="David"/>
          <w:b/>
          <w:bCs/>
          <w:sz w:val="24"/>
          <w:szCs w:val="24"/>
          <w:rtl/>
        </w:rPr>
        <w:t>יכולה</w:t>
      </w:r>
      <w:r w:rsidRPr="00922D82">
        <w:rPr>
          <w:rFonts w:ascii="David" w:hAnsi="David" w:cs="David"/>
          <w:b/>
          <w:bCs/>
          <w:sz w:val="24"/>
          <w:szCs w:val="24"/>
        </w:rPr>
        <w:t xml:space="preserve"> </w:t>
      </w:r>
      <w:r w:rsidRPr="00922D82">
        <w:rPr>
          <w:rFonts w:ascii="David" w:hAnsi="David" w:cs="David"/>
          <w:b/>
          <w:bCs/>
          <w:sz w:val="24"/>
          <w:szCs w:val="24"/>
          <w:rtl/>
        </w:rPr>
        <w:t>להיות</w:t>
      </w:r>
      <w:r w:rsidRPr="00922D82">
        <w:rPr>
          <w:rFonts w:ascii="David" w:hAnsi="David" w:cs="David"/>
          <w:b/>
          <w:bCs/>
          <w:sz w:val="24"/>
          <w:szCs w:val="24"/>
        </w:rPr>
        <w:t xml:space="preserve"> </w:t>
      </w:r>
      <w:r w:rsidRPr="00922D82">
        <w:rPr>
          <w:rFonts w:ascii="David" w:hAnsi="David" w:cs="David"/>
          <w:b/>
          <w:bCs/>
          <w:sz w:val="24"/>
          <w:szCs w:val="24"/>
          <w:rtl/>
        </w:rPr>
        <w:t>'כרוכה'</w:t>
      </w:r>
      <w:r w:rsidRPr="00922D82">
        <w:rPr>
          <w:rFonts w:ascii="David" w:hAnsi="David" w:cs="David"/>
          <w:b/>
          <w:bCs/>
          <w:sz w:val="24"/>
          <w:szCs w:val="24"/>
        </w:rPr>
        <w:t xml:space="preserve"> </w:t>
      </w:r>
      <w:r w:rsidRPr="00922D82">
        <w:rPr>
          <w:rFonts w:ascii="David" w:hAnsi="David" w:cs="David"/>
          <w:b/>
          <w:bCs/>
          <w:sz w:val="24"/>
          <w:szCs w:val="24"/>
          <w:rtl/>
        </w:rPr>
        <w:t>בתביעת</w:t>
      </w:r>
      <w:r w:rsidRPr="00922D82">
        <w:rPr>
          <w:rFonts w:ascii="David" w:hAnsi="David" w:cs="David"/>
          <w:b/>
          <w:bCs/>
          <w:sz w:val="24"/>
          <w:szCs w:val="24"/>
        </w:rPr>
        <w:t xml:space="preserve"> </w:t>
      </w:r>
      <w:r w:rsidRPr="00922D82">
        <w:rPr>
          <w:rFonts w:ascii="David" w:hAnsi="David" w:cs="David"/>
          <w:b/>
          <w:bCs/>
          <w:sz w:val="24"/>
          <w:szCs w:val="24"/>
          <w:rtl/>
        </w:rPr>
        <w:t>גירושין</w:t>
      </w:r>
      <w:r w:rsidRPr="00922D82">
        <w:rPr>
          <w:rFonts w:ascii="David" w:hAnsi="David" w:cs="David"/>
          <w:b/>
          <w:bCs/>
          <w:sz w:val="24"/>
          <w:szCs w:val="24"/>
        </w:rPr>
        <w:t xml:space="preserve"> </w:t>
      </w:r>
      <w:r w:rsidRPr="00922D82">
        <w:rPr>
          <w:rFonts w:ascii="David" w:hAnsi="David" w:cs="David"/>
          <w:b/>
          <w:bCs/>
          <w:sz w:val="24"/>
          <w:szCs w:val="24"/>
          <w:rtl/>
        </w:rPr>
        <w:t>כאמור</w:t>
      </w:r>
      <w:r w:rsidRPr="00922D82">
        <w:rPr>
          <w:rFonts w:ascii="David" w:hAnsi="David" w:cs="David"/>
          <w:b/>
          <w:bCs/>
          <w:sz w:val="24"/>
          <w:szCs w:val="24"/>
        </w:rPr>
        <w:t xml:space="preserve"> </w:t>
      </w:r>
      <w:r w:rsidRPr="00922D82">
        <w:rPr>
          <w:rFonts w:ascii="David" w:hAnsi="David" w:cs="David"/>
          <w:b/>
          <w:bCs/>
          <w:sz w:val="24"/>
          <w:szCs w:val="24"/>
          <w:rtl/>
        </w:rPr>
        <w:t>ב</w:t>
      </w:r>
      <w:bookmarkStart w:id="4" w:name="Seif48"/>
      <w:r w:rsidRPr="00922D82">
        <w:rPr>
          <w:rFonts w:ascii="David" w:hAnsi="David" w:cs="David"/>
          <w:b/>
          <w:bCs/>
          <w:sz w:val="24"/>
          <w:szCs w:val="24"/>
          <w:rtl/>
        </w:rPr>
        <w:t xml:space="preserve">סעיף </w:t>
      </w:r>
      <w:bookmarkEnd w:id="4"/>
      <w:r w:rsidRPr="00922D82">
        <w:rPr>
          <w:rFonts w:ascii="David" w:hAnsi="David" w:cs="David"/>
          <w:b/>
          <w:bCs/>
          <w:sz w:val="24"/>
          <w:szCs w:val="24"/>
          <w:rtl/>
        </w:rPr>
        <w:t>3 הנ"ל" (שם, בעמ' 175-176; ההדגשות אינן במקור).</w:t>
      </w:r>
    </w:p>
    <w:p w:rsidR="00A54B42" w:rsidRDefault="00A54B42" w:rsidP="00A54B42">
      <w:pPr>
        <w:pStyle w:val="ad"/>
        <w:spacing w:before="240" w:after="240" w:line="360" w:lineRule="auto"/>
        <w:jc w:val="both"/>
        <w:rPr>
          <w:rFonts w:ascii="Arial" w:hAnsi="Arial"/>
          <w:noProof w:val="0"/>
        </w:rPr>
      </w:pPr>
    </w:p>
    <w:p w:rsidR="008054F6" w:rsidRDefault="008054F6" w:rsidP="00D04A86">
      <w:pPr>
        <w:pStyle w:val="ad"/>
        <w:numPr>
          <w:ilvl w:val="0"/>
          <w:numId w:val="1"/>
        </w:numPr>
        <w:spacing w:before="240" w:after="240" w:line="360" w:lineRule="auto"/>
        <w:jc w:val="both"/>
        <w:rPr>
          <w:rFonts w:ascii="Arial" w:hAnsi="Arial"/>
          <w:noProof w:val="0"/>
        </w:rPr>
      </w:pPr>
      <w:r w:rsidRPr="00837404">
        <w:rPr>
          <w:rFonts w:ascii="Arial" w:hAnsi="Arial" w:hint="cs"/>
          <w:noProof w:val="0"/>
          <w:rtl/>
        </w:rPr>
        <w:t xml:space="preserve">על פסק הדין שניתן בעניין בע"מ 7628/17 הוגשה בקשה לדיון נוסף דנ"א 6669/19, שנדחתה בהחלטת כבוד הנשיאה חיות מיום 26/12/19. </w:t>
      </w:r>
    </w:p>
    <w:p w:rsidR="00837404" w:rsidRDefault="00837404" w:rsidP="00837404">
      <w:pPr>
        <w:pStyle w:val="ad"/>
        <w:spacing w:before="240" w:after="240" w:line="360" w:lineRule="auto"/>
        <w:jc w:val="both"/>
        <w:rPr>
          <w:rFonts w:ascii="Arial" w:hAnsi="Arial"/>
          <w:noProof w:val="0"/>
        </w:rPr>
      </w:pPr>
    </w:p>
    <w:p w:rsidR="00837404" w:rsidRDefault="00837404" w:rsidP="00B07582">
      <w:pPr>
        <w:pStyle w:val="ad"/>
        <w:numPr>
          <w:ilvl w:val="0"/>
          <w:numId w:val="1"/>
        </w:numPr>
        <w:spacing w:before="240" w:after="240" w:line="360" w:lineRule="auto"/>
        <w:jc w:val="both"/>
        <w:rPr>
          <w:rFonts w:ascii="Arial" w:hAnsi="Arial"/>
          <w:noProof w:val="0"/>
        </w:rPr>
      </w:pPr>
      <w:r>
        <w:rPr>
          <w:rFonts w:ascii="Arial" w:hAnsi="Arial" w:hint="cs"/>
          <w:noProof w:val="0"/>
          <w:rtl/>
        </w:rPr>
        <w:t>עוד מפנה ה</w:t>
      </w:r>
      <w:r w:rsidR="00B1364D">
        <w:rPr>
          <w:rFonts w:ascii="Arial" w:hAnsi="Arial" w:hint="cs"/>
          <w:noProof w:val="0"/>
          <w:rtl/>
        </w:rPr>
        <w:t xml:space="preserve">מבקשת </w:t>
      </w:r>
      <w:r>
        <w:rPr>
          <w:rFonts w:ascii="Arial" w:hAnsi="Arial" w:hint="cs"/>
          <w:noProof w:val="0"/>
          <w:rtl/>
        </w:rPr>
        <w:t>לפסקי דין נוספים</w:t>
      </w:r>
      <w:r w:rsidR="00B1364D">
        <w:rPr>
          <w:rFonts w:ascii="Arial" w:hAnsi="Arial" w:hint="cs"/>
          <w:noProof w:val="0"/>
          <w:rtl/>
        </w:rPr>
        <w:t>,</w:t>
      </w:r>
      <w:r>
        <w:rPr>
          <w:rFonts w:ascii="Arial" w:hAnsi="Arial" w:hint="cs"/>
          <w:noProof w:val="0"/>
          <w:rtl/>
        </w:rPr>
        <w:t xml:space="preserve"> שניתנו בעת האחרונה באותו עניין, על ידי כבוד השופט </w:t>
      </w:r>
      <w:r w:rsidR="009813D8">
        <w:rPr>
          <w:rFonts w:ascii="Arial" w:hAnsi="Arial" w:hint="cs"/>
          <w:noProof w:val="0"/>
          <w:rtl/>
        </w:rPr>
        <w:t>שאול שוחט בעניין</w:t>
      </w:r>
      <w:r w:rsidR="00B07582">
        <w:rPr>
          <w:rFonts w:ascii="Arial" w:hAnsi="Arial" w:hint="cs"/>
          <w:noProof w:val="0"/>
          <w:rtl/>
        </w:rPr>
        <w:t xml:space="preserve"> רמ"ש </w:t>
      </w:r>
      <w:r w:rsidR="009813D8">
        <w:rPr>
          <w:rFonts w:ascii="Arial" w:hAnsi="Arial" w:hint="cs"/>
          <w:noProof w:val="0"/>
          <w:rtl/>
        </w:rPr>
        <w:t>10</w:t>
      </w:r>
      <w:r w:rsidR="00B1364D">
        <w:rPr>
          <w:rFonts w:ascii="Arial" w:hAnsi="Arial" w:hint="cs"/>
          <w:noProof w:val="0"/>
          <w:rtl/>
        </w:rPr>
        <w:t>968-07-22, ובעניין</w:t>
      </w:r>
      <w:r w:rsidR="00B07582">
        <w:rPr>
          <w:rFonts w:ascii="Arial" w:hAnsi="Arial" w:hint="cs"/>
          <w:noProof w:val="0"/>
          <w:rtl/>
        </w:rPr>
        <w:t xml:space="preserve"> רמ"ש</w:t>
      </w:r>
      <w:r w:rsidR="00B1364D">
        <w:rPr>
          <w:rFonts w:ascii="Arial" w:hAnsi="Arial" w:hint="cs"/>
          <w:noProof w:val="0"/>
          <w:rtl/>
        </w:rPr>
        <w:t xml:space="preserve"> 23962-11-22 </w:t>
      </w:r>
      <w:r w:rsidR="00D64A7C">
        <w:rPr>
          <w:rFonts w:ascii="Arial" w:hAnsi="Arial" w:hint="cs"/>
          <w:noProof w:val="0"/>
          <w:rtl/>
        </w:rPr>
        <w:t xml:space="preserve">[פורסמו במאגרים המקוונים], וכן לצו על תנאי, שניתן בבג"צ 7880/21 [מאוחד עם 5988/21, 8228/21, 5652/22], המורה למשיבים [בתי הדין הרבניים], ליתן טעם מדוע לא יבוטלו החלטותיהם, לנוכח טענת העדר סמכות לדון בתביעה למזונות ילדים. </w:t>
      </w:r>
    </w:p>
    <w:p w:rsidR="00837404" w:rsidRDefault="00837404" w:rsidP="00837404">
      <w:pPr>
        <w:pStyle w:val="ad"/>
        <w:spacing w:before="240" w:after="240" w:line="360" w:lineRule="auto"/>
        <w:jc w:val="both"/>
        <w:rPr>
          <w:rFonts w:ascii="Arial" w:hAnsi="Arial"/>
          <w:noProof w:val="0"/>
        </w:rPr>
      </w:pPr>
    </w:p>
    <w:p w:rsidR="00837404" w:rsidRDefault="00837404" w:rsidP="00F46A2B">
      <w:pPr>
        <w:pStyle w:val="ad"/>
        <w:numPr>
          <w:ilvl w:val="0"/>
          <w:numId w:val="1"/>
        </w:numPr>
        <w:spacing w:before="240" w:after="240" w:line="360" w:lineRule="auto"/>
        <w:jc w:val="both"/>
        <w:rPr>
          <w:rFonts w:ascii="Arial" w:hAnsi="Arial"/>
          <w:noProof w:val="0"/>
        </w:rPr>
      </w:pPr>
      <w:r>
        <w:rPr>
          <w:rFonts w:ascii="Arial" w:hAnsi="Arial" w:hint="cs"/>
          <w:noProof w:val="0"/>
          <w:rtl/>
        </w:rPr>
        <w:t>מאידך גיסא, מפנה ה</w:t>
      </w:r>
      <w:r w:rsidR="00B1364D">
        <w:rPr>
          <w:rFonts w:ascii="Arial" w:hAnsi="Arial" w:hint="cs"/>
          <w:noProof w:val="0"/>
          <w:rtl/>
        </w:rPr>
        <w:t>משיב</w:t>
      </w:r>
      <w:r>
        <w:rPr>
          <w:rFonts w:ascii="Arial" w:hAnsi="Arial" w:hint="cs"/>
          <w:noProof w:val="0"/>
          <w:rtl/>
        </w:rPr>
        <w:t xml:space="preserve"> לדברי בית הדין הרבני הגדול בעניין 1250217/3, שם נקבע כי בית הדין הרבני מוסמך לדון במזונות קטינים, למרות הדברים שנאמרו בבע"מ 7628/17, זאת מהטעמים שפורטו באותה החלטה.</w:t>
      </w:r>
      <w:r w:rsidR="009813D8">
        <w:rPr>
          <w:rFonts w:ascii="Arial" w:hAnsi="Arial" w:hint="cs"/>
          <w:noProof w:val="0"/>
          <w:rtl/>
        </w:rPr>
        <w:t xml:space="preserve"> </w:t>
      </w:r>
    </w:p>
    <w:p w:rsidR="009813D8" w:rsidRPr="009813D8" w:rsidRDefault="009813D8" w:rsidP="009813D8">
      <w:pPr>
        <w:pStyle w:val="ad"/>
        <w:rPr>
          <w:rFonts w:ascii="Arial" w:hAnsi="Arial"/>
          <w:noProof w:val="0"/>
          <w:rtl/>
        </w:rPr>
      </w:pPr>
    </w:p>
    <w:p w:rsidR="009813D8" w:rsidRDefault="00B1364D" w:rsidP="00B1364D">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ביום 25/4/23 ניתנה החלטת בית הדין הרבני הנכבד, </w:t>
      </w:r>
      <w:r w:rsidR="009813D8">
        <w:rPr>
          <w:rFonts w:ascii="Arial" w:hAnsi="Arial" w:hint="cs"/>
          <w:noProof w:val="0"/>
          <w:rtl/>
        </w:rPr>
        <w:t>בה נקבע כי הסמכות לדון בתביעת מזונות הקטינים נתונה לבית הדין, תוך הפניה להוראות ס' 3 לחוק שיפוט בתי דין רבניים</w:t>
      </w:r>
      <w:r>
        <w:rPr>
          <w:rFonts w:ascii="Arial" w:hAnsi="Arial" w:hint="cs"/>
          <w:noProof w:val="0"/>
          <w:rtl/>
        </w:rPr>
        <w:t>, וכן לדב</w:t>
      </w:r>
      <w:r w:rsidR="00F46A2B">
        <w:rPr>
          <w:rFonts w:ascii="Arial" w:hAnsi="Arial" w:hint="cs"/>
          <w:noProof w:val="0"/>
          <w:rtl/>
        </w:rPr>
        <w:t>ר</w:t>
      </w:r>
      <w:r>
        <w:rPr>
          <w:rFonts w:ascii="Arial" w:hAnsi="Arial" w:hint="cs"/>
          <w:noProof w:val="0"/>
          <w:rtl/>
        </w:rPr>
        <w:t>י בית הדין הרבני הגדול בעניין 125217/3</w:t>
      </w:r>
      <w:r w:rsidR="009813D8">
        <w:rPr>
          <w:rFonts w:ascii="Arial" w:hAnsi="Arial" w:hint="cs"/>
          <w:noProof w:val="0"/>
          <w:rtl/>
        </w:rPr>
        <w:t xml:space="preserve">.  </w:t>
      </w:r>
    </w:p>
    <w:p w:rsidR="00DC574C" w:rsidRDefault="00DC574C" w:rsidP="00DC574C">
      <w:pPr>
        <w:pStyle w:val="ad"/>
        <w:rPr>
          <w:rFonts w:ascii="Arial" w:hAnsi="Arial"/>
          <w:noProof w:val="0"/>
          <w:rtl/>
        </w:rPr>
      </w:pPr>
    </w:p>
    <w:p w:rsidR="00D64A7C" w:rsidRDefault="00D64A7C" w:rsidP="00DC574C">
      <w:pPr>
        <w:pStyle w:val="ad"/>
        <w:rPr>
          <w:rFonts w:ascii="Arial" w:hAnsi="Arial"/>
          <w:noProof w:val="0"/>
          <w:rtl/>
        </w:rPr>
      </w:pPr>
    </w:p>
    <w:p w:rsidR="00D64A7C" w:rsidRDefault="00D64A7C" w:rsidP="00DC574C">
      <w:pPr>
        <w:pStyle w:val="ad"/>
        <w:rPr>
          <w:rFonts w:ascii="Arial" w:hAnsi="Arial"/>
          <w:noProof w:val="0"/>
          <w:rtl/>
        </w:rPr>
      </w:pPr>
    </w:p>
    <w:p w:rsidR="00D64A7C" w:rsidRDefault="00D64A7C" w:rsidP="00DC574C">
      <w:pPr>
        <w:pStyle w:val="ad"/>
        <w:rPr>
          <w:rFonts w:ascii="Arial" w:hAnsi="Arial"/>
          <w:noProof w:val="0"/>
          <w:rtl/>
        </w:rPr>
      </w:pPr>
    </w:p>
    <w:p w:rsidR="00D64A7C" w:rsidRPr="00DC574C" w:rsidRDefault="00D64A7C" w:rsidP="00DC574C">
      <w:pPr>
        <w:pStyle w:val="ad"/>
        <w:rPr>
          <w:rFonts w:ascii="Arial" w:hAnsi="Arial"/>
          <w:noProof w:val="0"/>
          <w:rtl/>
        </w:rPr>
      </w:pPr>
    </w:p>
    <w:p w:rsidR="00DC574C" w:rsidRDefault="00DC574C" w:rsidP="009B5547">
      <w:pPr>
        <w:numPr>
          <w:ilvl w:val="0"/>
          <w:numId w:val="1"/>
        </w:numPr>
        <w:spacing w:line="360" w:lineRule="auto"/>
        <w:jc w:val="both"/>
        <w:rPr>
          <w:noProof w:val="0"/>
        </w:rPr>
      </w:pPr>
      <w:r>
        <w:rPr>
          <w:rtl/>
        </w:rPr>
        <w:lastRenderedPageBreak/>
        <w:t xml:space="preserve">סעיף 25(ב) לחוק בית המשפט לענייני משפחה, התשנ"ה-1995, קובע </w:t>
      </w:r>
      <w:r w:rsidR="009B5547">
        <w:rPr>
          <w:rFonts w:hint="cs"/>
          <w:rtl/>
        </w:rPr>
        <w:t>כדלקמן:</w:t>
      </w:r>
    </w:p>
    <w:p w:rsidR="00DC574C" w:rsidRDefault="00DC574C" w:rsidP="00DC574C">
      <w:pPr>
        <w:spacing w:line="360" w:lineRule="auto"/>
        <w:ind w:left="360"/>
        <w:jc w:val="both"/>
      </w:pPr>
    </w:p>
    <w:p w:rsidR="00DC574C" w:rsidRDefault="00DC574C" w:rsidP="00DC574C">
      <w:pPr>
        <w:spacing w:line="360" w:lineRule="auto"/>
        <w:ind w:left="1134" w:right="1134"/>
        <w:jc w:val="both"/>
        <w:rPr>
          <w:rFonts w:ascii="David" w:hAnsi="David"/>
          <w:rtl/>
        </w:rPr>
      </w:pPr>
      <w:r w:rsidRPr="009B5547">
        <w:rPr>
          <w:rStyle w:val="default"/>
          <w:rFonts w:ascii="David" w:hAnsi="David" w:cs="David"/>
          <w:rtl/>
        </w:rPr>
        <w:t>"</w:t>
      </w:r>
      <w:r w:rsidRPr="009B5547">
        <w:rPr>
          <w:rStyle w:val="default"/>
          <w:rFonts w:ascii="David" w:hAnsi="David" w:cs="David"/>
          <w:b/>
          <w:bCs/>
          <w:rtl/>
        </w:rPr>
        <w:t>בענין הנתון לסמכותו המקבילה של בית דין דתי, יהיה בית המשפט לעניני משפחה מוסמך לדון, כל עוד אין בית הדין הדתי דן בו</w:t>
      </w:r>
      <w:r w:rsidRPr="009B5547">
        <w:rPr>
          <w:rStyle w:val="default"/>
          <w:rFonts w:ascii="David" w:hAnsi="David" w:cs="David"/>
          <w:rtl/>
        </w:rPr>
        <w:t>".</w:t>
      </w:r>
    </w:p>
    <w:p w:rsidR="00D64A7C" w:rsidRPr="009B5547" w:rsidRDefault="00D64A7C" w:rsidP="00D64A7C">
      <w:pPr>
        <w:spacing w:line="360" w:lineRule="auto"/>
        <w:ind w:right="1134"/>
        <w:jc w:val="both"/>
        <w:rPr>
          <w:rFonts w:ascii="David" w:hAnsi="David"/>
          <w:rtl/>
        </w:rPr>
      </w:pPr>
    </w:p>
    <w:p w:rsidR="009B5547" w:rsidRDefault="009B5547" w:rsidP="00D64A7C">
      <w:pPr>
        <w:numPr>
          <w:ilvl w:val="0"/>
          <w:numId w:val="1"/>
        </w:numPr>
        <w:spacing w:line="360" w:lineRule="auto"/>
        <w:jc w:val="both"/>
        <w:rPr>
          <w:noProof w:val="0"/>
        </w:rPr>
      </w:pPr>
      <w:r>
        <w:rPr>
          <w:rtl/>
        </w:rPr>
        <w:t xml:space="preserve">בהתאם </w:t>
      </w:r>
      <w:r>
        <w:rPr>
          <w:rFonts w:hint="cs"/>
          <w:rtl/>
        </w:rPr>
        <w:t>ל</w:t>
      </w:r>
      <w:r>
        <w:rPr>
          <w:rtl/>
        </w:rPr>
        <w:t>הלכה</w:t>
      </w:r>
      <w:r>
        <w:rPr>
          <w:rFonts w:hint="cs"/>
          <w:rtl/>
        </w:rPr>
        <w:t xml:space="preserve">, </w:t>
      </w:r>
      <w:r>
        <w:rPr>
          <w:rtl/>
        </w:rPr>
        <w:t xml:space="preserve">כאשר אחת  משתי הערכאות – בית הדין הרבני או בית המשפט לענייני משפחה – קנתה סמכות לדון בעניין שנתבע בפניה כדין, לא תזקק לאותו עניין הערכאה האחרת, אף אם נתונה לה סמכות שיפוט מקבילה. </w:t>
      </w:r>
      <w:r>
        <w:rPr>
          <w:rFonts w:hint="cs"/>
          <w:rtl/>
        </w:rPr>
        <w:t>אפנה ל</w:t>
      </w:r>
      <w:r>
        <w:rPr>
          <w:rtl/>
        </w:rPr>
        <w:t xml:space="preserve">דברי </w:t>
      </w:r>
      <w:r>
        <w:rPr>
          <w:rFonts w:hint="cs"/>
          <w:rtl/>
        </w:rPr>
        <w:t xml:space="preserve">השופטת </w:t>
      </w:r>
      <w:r>
        <w:rPr>
          <w:rtl/>
        </w:rPr>
        <w:t xml:space="preserve">ש' בייניש </w:t>
      </w:r>
      <w:r w:rsidRPr="009B5547">
        <w:rPr>
          <w:rFonts w:ascii="Arial" w:hAnsi="Arial" w:hint="cs"/>
          <w:b/>
          <w:bCs/>
          <w:noProof w:val="0"/>
          <w:rtl/>
        </w:rPr>
        <w:t>בבג"צ 8497/00 פלמן נ' פלמן [פורסם במאגרים המקוונים]</w:t>
      </w:r>
      <w:r>
        <w:rPr>
          <w:rFonts w:hint="cs"/>
          <w:rtl/>
        </w:rPr>
        <w:t xml:space="preserve"> כדלקמן</w:t>
      </w:r>
      <w:r>
        <w:rPr>
          <w:rtl/>
        </w:rPr>
        <w:t>:</w:t>
      </w:r>
    </w:p>
    <w:p w:rsidR="009B5547" w:rsidRDefault="009B5547" w:rsidP="009B5547">
      <w:pPr>
        <w:spacing w:line="360" w:lineRule="auto"/>
        <w:ind w:left="360"/>
        <w:jc w:val="both"/>
      </w:pPr>
    </w:p>
    <w:p w:rsidR="009B5547" w:rsidRDefault="009B5547" w:rsidP="009B5547">
      <w:pPr>
        <w:spacing w:line="360" w:lineRule="auto"/>
        <w:ind w:left="1134" w:right="1134"/>
        <w:jc w:val="both"/>
      </w:pPr>
      <w:r>
        <w:rPr>
          <w:rtl/>
        </w:rPr>
        <w:t>"</w:t>
      </w:r>
      <w:r>
        <w:rPr>
          <w:b/>
          <w:bCs/>
          <w:sz w:val="22"/>
          <w:rtl/>
        </w:rPr>
        <w:t>הלכה ידועה היא כי "מקום שערכאה אחת דנה ופסקה בתום-לבה בעניין פלוני, אין ערכאה אחרת נזקקת לתביעה חוזרת באותו העניין עצמו - תהא אשר תהא הסמכות הפורמלית" (דברי השופט ח' כהן ב</w:t>
      </w:r>
      <w:hyperlink r:id="rId8" w:history="1">
        <w:r>
          <w:rPr>
            <w:rStyle w:val="Hyperlink"/>
            <w:b/>
            <w:bCs/>
            <w:sz w:val="22"/>
            <w:rtl/>
          </w:rPr>
          <w:t>ע"א  359/75</w:t>
        </w:r>
      </w:hyperlink>
      <w:r>
        <w:rPr>
          <w:b/>
          <w:bCs/>
          <w:sz w:val="22"/>
          <w:rtl/>
        </w:rPr>
        <w:t xml:space="preserve"> </w:t>
      </w:r>
      <w:r>
        <w:rPr>
          <w:b/>
          <w:bCs/>
          <w:sz w:val="22"/>
          <w:u w:val="single"/>
          <w:rtl/>
        </w:rPr>
        <w:t>יהלומי</w:t>
      </w:r>
      <w:r>
        <w:rPr>
          <w:b/>
          <w:bCs/>
          <w:sz w:val="22"/>
          <w:rtl/>
        </w:rPr>
        <w:t xml:space="preserve"> הנ"ל, בעמ'  27). כדי שלא תתקיימנה הכרעות סותרות של בית-המשפט ושל בית-הדין הרבני בתביעות שהוגשו בפני שתי הערכאות באותו עניין, נקבע כי הכרעתה של הערכאה שהקדימה להחליט בעניין נשוא התביעה, היא המחייבת - כל עוד לא בוטלה או נהפכה בערעור כדין</w:t>
      </w:r>
      <w:r>
        <w:rPr>
          <w:sz w:val="22"/>
          <w:rtl/>
        </w:rPr>
        <w:t>" עמ' 12 לפסק הדין.</w:t>
      </w:r>
    </w:p>
    <w:p w:rsidR="009B5547" w:rsidRDefault="009B5547" w:rsidP="005F219E">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כבוד השופטת בייניש </w:t>
      </w:r>
      <w:r w:rsidR="005F219E">
        <w:rPr>
          <w:rFonts w:ascii="Arial" w:hAnsi="Arial" w:hint="cs"/>
          <w:noProof w:val="0"/>
          <w:rtl/>
        </w:rPr>
        <w:t xml:space="preserve">מתייחסת </w:t>
      </w:r>
      <w:r w:rsidR="00ED77CD">
        <w:rPr>
          <w:rFonts w:ascii="Arial" w:hAnsi="Arial" w:hint="cs"/>
          <w:noProof w:val="0"/>
          <w:rtl/>
        </w:rPr>
        <w:t xml:space="preserve">בעניין פלמן, </w:t>
      </w:r>
      <w:r w:rsidR="005F219E">
        <w:rPr>
          <w:rFonts w:ascii="Arial" w:hAnsi="Arial" w:hint="cs"/>
          <w:noProof w:val="0"/>
          <w:rtl/>
        </w:rPr>
        <w:t xml:space="preserve">לכלל כיבוד הערכאות, ולדבריה: </w:t>
      </w:r>
    </w:p>
    <w:p w:rsidR="005F219E" w:rsidRDefault="005F219E" w:rsidP="005F219E">
      <w:pPr>
        <w:pStyle w:val="ad"/>
        <w:spacing w:before="240" w:after="240" w:line="360" w:lineRule="auto"/>
        <w:jc w:val="both"/>
        <w:rPr>
          <w:rFonts w:ascii="Arial" w:hAnsi="Arial"/>
          <w:noProof w:val="0"/>
        </w:rPr>
      </w:pPr>
    </w:p>
    <w:p w:rsidR="005F219E" w:rsidRDefault="005F219E" w:rsidP="005F219E">
      <w:pPr>
        <w:pStyle w:val="ad"/>
        <w:spacing w:line="360" w:lineRule="auto"/>
        <w:ind w:left="1701" w:right="1134"/>
        <w:jc w:val="both"/>
        <w:rPr>
          <w:noProof w:val="0"/>
        </w:rPr>
      </w:pPr>
      <w:r w:rsidRPr="005F219E">
        <w:rPr>
          <w:sz w:val="22"/>
          <w:rtl/>
        </w:rPr>
        <w:t>"</w:t>
      </w:r>
      <w:r w:rsidRPr="005F219E">
        <w:rPr>
          <w:b/>
          <w:bCs/>
          <w:sz w:val="22"/>
          <w:rtl/>
        </w:rPr>
        <w:t>בפתח הדברים נציין כי ראוי שלא להגיע למצב בו ניתנות שתי הכרעות סותרות בשאלת הסמכות. יש בכך משום בזבוז זמן שיפוטי יקר על כפל התדיינות, העלולה להוביל להכרעות סותרות. הדבר עלול לפגוע באמון הציבור במערכת המשפט, נוכח קיומן של הכרעות שיפוטיות נוגדות באותו עניין. מעל הכל, מאבדים בני-הזוג המתדיינים זמן וממון רב, ועומדים הם במצב בלתי נסבל המובילם למבוי סתום, והכל בשל כפל-דיונים בשאלה מקדמית הנוגעת לסמכות-השיפוט</w:t>
      </w:r>
      <w:r w:rsidRPr="005F219E">
        <w:rPr>
          <w:sz w:val="22"/>
          <w:rtl/>
        </w:rPr>
        <w:t>" עמ' 11 לפסק הדין.</w:t>
      </w:r>
    </w:p>
    <w:p w:rsidR="009B5547" w:rsidRDefault="009B5547" w:rsidP="005F219E">
      <w:pPr>
        <w:pStyle w:val="ad"/>
        <w:spacing w:before="240" w:after="240" w:line="360" w:lineRule="auto"/>
        <w:jc w:val="both"/>
        <w:rPr>
          <w:rFonts w:ascii="Arial" w:hAnsi="Arial"/>
          <w:noProof w:val="0"/>
        </w:rPr>
      </w:pPr>
    </w:p>
    <w:p w:rsidR="00D64A7C" w:rsidRPr="004D61A2" w:rsidRDefault="00D64A7C" w:rsidP="005F219E">
      <w:pPr>
        <w:pStyle w:val="ad"/>
        <w:numPr>
          <w:ilvl w:val="0"/>
          <w:numId w:val="1"/>
        </w:numPr>
        <w:spacing w:before="240" w:after="240" w:line="360" w:lineRule="auto"/>
        <w:jc w:val="both"/>
        <w:rPr>
          <w:rFonts w:ascii="Arial" w:hAnsi="Arial"/>
          <w:b/>
          <w:bCs/>
          <w:noProof w:val="0"/>
        </w:rPr>
      </w:pPr>
      <w:r>
        <w:rPr>
          <w:rFonts w:ascii="Arial" w:hAnsi="Arial" w:hint="cs"/>
          <w:noProof w:val="0"/>
          <w:rtl/>
        </w:rPr>
        <w:lastRenderedPageBreak/>
        <w:t xml:space="preserve">למרות האמור, נשאלת השאלה מהו המצב במקרה בו ניתנה החלטה בית הדין הרבני, הקובעת סמכות, זאת לכאורה, בניגוד לקביעת בית המשפט העליון שניתנה בפרשת </w:t>
      </w:r>
      <w:r w:rsidRPr="00837404">
        <w:rPr>
          <w:rFonts w:ascii="Arial" w:hAnsi="Arial" w:hint="cs"/>
          <w:noProof w:val="0"/>
          <w:rtl/>
        </w:rPr>
        <w:t>בע"מ 7628/17</w:t>
      </w:r>
      <w:r>
        <w:rPr>
          <w:rFonts w:ascii="Arial" w:hAnsi="Arial" w:hint="cs"/>
          <w:noProof w:val="0"/>
          <w:rtl/>
        </w:rPr>
        <w:t xml:space="preserve">, </w:t>
      </w:r>
      <w:r w:rsidRPr="004D61A2">
        <w:rPr>
          <w:rFonts w:ascii="Arial" w:hAnsi="Arial" w:hint="cs"/>
          <w:b/>
          <w:bCs/>
          <w:noProof w:val="0"/>
          <w:rtl/>
        </w:rPr>
        <w:t>האם כלל כיבוד הע</w:t>
      </w:r>
      <w:r w:rsidR="003D7B4B" w:rsidRPr="004D61A2">
        <w:rPr>
          <w:rFonts w:ascii="Arial" w:hAnsi="Arial" w:hint="cs"/>
          <w:b/>
          <w:bCs/>
          <w:noProof w:val="0"/>
          <w:rtl/>
        </w:rPr>
        <w:t>רכאות עודנו חל ויש לפעול על פיו.</w:t>
      </w:r>
    </w:p>
    <w:p w:rsidR="00D64A7C" w:rsidRPr="003D7B4B" w:rsidRDefault="00D64A7C" w:rsidP="00D64A7C">
      <w:pPr>
        <w:pStyle w:val="ad"/>
        <w:spacing w:before="240" w:after="240" w:line="360" w:lineRule="auto"/>
        <w:jc w:val="both"/>
        <w:rPr>
          <w:rFonts w:ascii="Arial" w:hAnsi="Arial"/>
          <w:noProof w:val="0"/>
        </w:rPr>
      </w:pPr>
    </w:p>
    <w:p w:rsidR="009B5547" w:rsidRDefault="00B07582" w:rsidP="005F219E">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בעניין רמ"ש 23962-11-22 </w:t>
      </w:r>
      <w:r w:rsidR="00681719">
        <w:rPr>
          <w:rFonts w:ascii="Arial" w:hAnsi="Arial" w:hint="cs"/>
          <w:noProof w:val="0"/>
          <w:rtl/>
        </w:rPr>
        <w:t xml:space="preserve">[ניתנה ביום 9/12/22], </w:t>
      </w:r>
      <w:r>
        <w:rPr>
          <w:rFonts w:ascii="Arial" w:hAnsi="Arial" w:hint="cs"/>
          <w:noProof w:val="0"/>
          <w:rtl/>
        </w:rPr>
        <w:t xml:space="preserve">דן בית המשפט המחוזי, כבוד השופט </w:t>
      </w:r>
      <w:r w:rsidR="003D7B4B">
        <w:rPr>
          <w:rFonts w:ascii="Arial" w:hAnsi="Arial" w:hint="cs"/>
          <w:noProof w:val="0"/>
          <w:rtl/>
        </w:rPr>
        <w:t xml:space="preserve">ש' </w:t>
      </w:r>
      <w:r>
        <w:rPr>
          <w:rFonts w:ascii="Arial" w:hAnsi="Arial" w:hint="cs"/>
          <w:noProof w:val="0"/>
          <w:rtl/>
        </w:rPr>
        <w:t xml:space="preserve">שוחט, במקרה בו </w:t>
      </w:r>
      <w:r w:rsidR="002077F9">
        <w:rPr>
          <w:rFonts w:ascii="Arial" w:hAnsi="Arial" w:hint="cs"/>
          <w:noProof w:val="0"/>
          <w:rtl/>
        </w:rPr>
        <w:t>ניתנה החלטת בית הדין</w:t>
      </w:r>
      <w:r w:rsidR="005F219E">
        <w:rPr>
          <w:rFonts w:ascii="Arial" w:hAnsi="Arial" w:hint="cs"/>
          <w:noProof w:val="0"/>
          <w:rtl/>
        </w:rPr>
        <w:t xml:space="preserve"> הרבני</w:t>
      </w:r>
      <w:r w:rsidR="002077F9">
        <w:rPr>
          <w:rFonts w:ascii="Arial" w:hAnsi="Arial" w:hint="cs"/>
          <w:noProof w:val="0"/>
          <w:rtl/>
        </w:rPr>
        <w:t xml:space="preserve">, שקבעה כי הסמכות העניינית לדון בסוגיית מזונות הקטינים הנה לבית הדין, תוך התייחסות לבע"מ 7628/17, וקביעה כי פסיקה זו אינה מחייבת את בתי הדין. כבוד השופט שוחט, מפנה לדברי </w:t>
      </w:r>
      <w:r w:rsidR="005F219E">
        <w:rPr>
          <w:rFonts w:ascii="Arial" w:hAnsi="Arial" w:hint="cs"/>
          <w:noProof w:val="0"/>
          <w:rtl/>
        </w:rPr>
        <w:t xml:space="preserve">השופטת בייניש </w:t>
      </w:r>
      <w:r w:rsidR="002077F9">
        <w:rPr>
          <w:rFonts w:ascii="Arial" w:hAnsi="Arial" w:hint="cs"/>
          <w:noProof w:val="0"/>
          <w:rtl/>
        </w:rPr>
        <w:t>ב</w:t>
      </w:r>
      <w:r w:rsidR="009B5547">
        <w:rPr>
          <w:rFonts w:ascii="Arial" w:hAnsi="Arial" w:hint="cs"/>
          <w:noProof w:val="0"/>
          <w:rtl/>
        </w:rPr>
        <w:t>פרשת פלמן כדלקמן:</w:t>
      </w:r>
    </w:p>
    <w:p w:rsidR="00B07582" w:rsidRPr="005F219E" w:rsidRDefault="00B07582" w:rsidP="00B07582">
      <w:pPr>
        <w:pStyle w:val="ad"/>
        <w:rPr>
          <w:rFonts w:ascii="Arial" w:hAnsi="Arial"/>
          <w:noProof w:val="0"/>
          <w:rtl/>
        </w:rPr>
      </w:pPr>
    </w:p>
    <w:p w:rsidR="00B07582" w:rsidRDefault="00B07582" w:rsidP="00B07582">
      <w:pPr>
        <w:pStyle w:val="ae"/>
        <w:ind w:left="1701" w:right="1134" w:firstLine="0"/>
        <w:rPr>
          <w:rtl/>
        </w:rPr>
      </w:pPr>
      <w:r>
        <w:rPr>
          <w:rFonts w:ascii="David" w:hAnsi="David" w:cs="David" w:hint="cs"/>
          <w:b/>
          <w:bCs/>
          <w:sz w:val="24"/>
          <w:rtl/>
        </w:rPr>
        <w:t>"...</w:t>
      </w:r>
      <w:r w:rsidRPr="00B07582">
        <w:rPr>
          <w:rFonts w:ascii="David" w:hAnsi="David" w:cs="David"/>
          <w:b/>
          <w:bCs/>
          <w:sz w:val="24"/>
          <w:rtl/>
        </w:rPr>
        <w:t>בשל עקרון הכיבוד ההדדי בין הערכאות אני סבורה כי רק במקרים חריגים, ובהתקיים "טעם מיוחד" שיצדיק זאת, תחליט הערכאה השנייה בשאלת סמכותה לדון בסוגיה שנתבעה בפניה, אף שהערכאה האחרת כבר החליטה כי בסמכותה לדון באותה הסוגיה ממש. מה יהווה "טעם מיוחד", ובאילו נסיבות ניתן לקבוע "טעם מיוחד" כאמור? טול לדוגמה מקרה שענייני הרכוש נכרכו בו בתביעת גירושין בפני בית</w:t>
      </w:r>
      <w:r w:rsidRPr="00B07582">
        <w:rPr>
          <w:rFonts w:ascii="David" w:hAnsi="David" w:cs="David"/>
          <w:b/>
          <w:bCs/>
          <w:position w:val="4"/>
          <w:sz w:val="24"/>
          <w:rtl/>
        </w:rPr>
        <w:t>-</w:t>
      </w:r>
      <w:r w:rsidRPr="00B07582">
        <w:rPr>
          <w:rFonts w:ascii="David" w:hAnsi="David" w:cs="David"/>
          <w:b/>
          <w:bCs/>
          <w:sz w:val="24"/>
          <w:rtl/>
        </w:rPr>
        <w:t>הדין הרבני, ולאחר מכן נתבעו בפני בית</w:t>
      </w:r>
      <w:r w:rsidRPr="00B07582">
        <w:rPr>
          <w:rFonts w:ascii="David" w:hAnsi="David" w:cs="David"/>
          <w:b/>
          <w:bCs/>
          <w:position w:val="4"/>
          <w:sz w:val="24"/>
          <w:rtl/>
        </w:rPr>
        <w:t>-</w:t>
      </w:r>
      <w:r w:rsidRPr="00B07582">
        <w:rPr>
          <w:rFonts w:ascii="David" w:hAnsi="David" w:cs="David"/>
          <w:b/>
          <w:bCs/>
          <w:sz w:val="24"/>
          <w:rtl/>
        </w:rPr>
        <w:t>המשפט לענייני משפחה, ואחת משתי הערכאות פסקה כי היא המוסמכת לדון בחלוקת הרכוש בין בני</w:t>
      </w:r>
      <w:r w:rsidRPr="00B07582">
        <w:rPr>
          <w:rFonts w:ascii="David" w:hAnsi="David" w:cs="David"/>
          <w:b/>
          <w:bCs/>
          <w:position w:val="4"/>
          <w:sz w:val="24"/>
          <w:rtl/>
        </w:rPr>
        <w:t>-</w:t>
      </w:r>
      <w:r w:rsidRPr="00B07582">
        <w:rPr>
          <w:rFonts w:ascii="David" w:hAnsi="David" w:cs="David"/>
          <w:b/>
          <w:bCs/>
          <w:sz w:val="24"/>
          <w:rtl/>
        </w:rPr>
        <w:t xml:space="preserve">הזוג בלא לנמק החלטתה, ובלא שנערך דיון מקדים בשאלת התקיימותם של תנאי הכריכה טרם מתן ההכרעה. במקרה כזה מתעורר חשש כי היה "מחטף" סמכויות בניגוד למתחייב מן הכבוד ההדדי בין הערכאות. בנסיבות כאלה עשוי להתקיים "טעם מיוחד" שיצדיק דיון של הערכאה השנייה בשאלת סמכותה להיזקק לתביעה הרכושית שבפניה (השוו </w:t>
      </w:r>
      <w:hyperlink r:id="rId9" w:history="1">
        <w:r w:rsidRPr="00B07582">
          <w:rPr>
            <w:rStyle w:val="Hyperlink"/>
            <w:rFonts w:ascii="David" w:hAnsi="David" w:cs="David"/>
            <w:b/>
            <w:bCs/>
            <w:sz w:val="24"/>
            <w:rtl/>
          </w:rPr>
          <w:t>בג"ץ 725/80</w:t>
        </w:r>
      </w:hyperlink>
      <w:r w:rsidRPr="00B07582">
        <w:rPr>
          <w:rFonts w:ascii="David" w:hAnsi="David" w:cs="David"/>
          <w:b/>
          <w:bCs/>
          <w:sz w:val="24"/>
          <w:rtl/>
        </w:rPr>
        <w:t xml:space="preserve"> בלום נ' בית הדין הרבני חיפה [24]). מקרה אחר שיתקיים בו "טעם מיוחד" כאמור הוא כאשר ברור וגלוי על פני הדברים כי הכרעתה של הערכאה הראשונה לעניין סמכותה לוקה בחוסר חוקיות או בפגם חמור אחר היורד לשורש הסמכות, שבעטיים הכרעתה בטלה. כך למשל כאשר ההכרעה לעניין הסמכות ניתנה תוך חריגה ברורה מכללי הצדק הטבעי, מן הסוג המביא לבטלותה של ההכרעה. </w:t>
      </w:r>
      <w:r w:rsidRPr="002077F9">
        <w:rPr>
          <w:rFonts w:ascii="David" w:hAnsi="David" w:cs="David"/>
          <w:b/>
          <w:bCs/>
          <w:sz w:val="24"/>
          <w:u w:val="single"/>
          <w:rtl/>
        </w:rPr>
        <w:t>או למשל כאשר נכרכה בתביעת גירושין סוגיה שאינה ניתנת לכריכה (כגון תביעת ילד למזונותיו), ואף</w:t>
      </w:r>
      <w:r w:rsidRPr="002077F9">
        <w:rPr>
          <w:rFonts w:ascii="David" w:hAnsi="David" w:cs="David"/>
          <w:b/>
          <w:bCs/>
          <w:position w:val="4"/>
          <w:sz w:val="24"/>
          <w:u w:val="single"/>
          <w:rtl/>
        </w:rPr>
        <w:t>-</w:t>
      </w:r>
      <w:r w:rsidRPr="002077F9">
        <w:rPr>
          <w:rFonts w:ascii="David" w:hAnsi="David" w:cs="David"/>
          <w:b/>
          <w:bCs/>
          <w:sz w:val="24"/>
          <w:u w:val="single"/>
          <w:rtl/>
        </w:rPr>
        <w:t>על</w:t>
      </w:r>
      <w:r w:rsidRPr="002077F9">
        <w:rPr>
          <w:rFonts w:ascii="David" w:hAnsi="David" w:cs="David"/>
          <w:b/>
          <w:bCs/>
          <w:position w:val="4"/>
          <w:sz w:val="24"/>
          <w:u w:val="single"/>
          <w:rtl/>
        </w:rPr>
        <w:t>-</w:t>
      </w:r>
      <w:r w:rsidRPr="002077F9">
        <w:rPr>
          <w:rFonts w:ascii="David" w:hAnsi="David" w:cs="David"/>
          <w:b/>
          <w:bCs/>
          <w:sz w:val="24"/>
          <w:u w:val="single"/>
          <w:rtl/>
        </w:rPr>
        <w:t>פי</w:t>
      </w:r>
      <w:r w:rsidRPr="002077F9">
        <w:rPr>
          <w:rFonts w:ascii="David" w:hAnsi="David" w:cs="David"/>
          <w:b/>
          <w:bCs/>
          <w:position w:val="4"/>
          <w:sz w:val="24"/>
          <w:u w:val="single"/>
          <w:rtl/>
        </w:rPr>
        <w:t>-</w:t>
      </w:r>
      <w:r w:rsidRPr="002077F9">
        <w:rPr>
          <w:rFonts w:ascii="David" w:hAnsi="David" w:cs="David"/>
          <w:b/>
          <w:bCs/>
          <w:sz w:val="24"/>
          <w:u w:val="single"/>
          <w:rtl/>
        </w:rPr>
        <w:t>כן קבע בית</w:t>
      </w:r>
      <w:r w:rsidRPr="002077F9">
        <w:rPr>
          <w:rFonts w:ascii="David" w:hAnsi="David" w:cs="David"/>
          <w:b/>
          <w:bCs/>
          <w:position w:val="4"/>
          <w:sz w:val="24"/>
          <w:u w:val="single"/>
          <w:rtl/>
        </w:rPr>
        <w:t>-</w:t>
      </w:r>
      <w:r w:rsidRPr="002077F9">
        <w:rPr>
          <w:rFonts w:ascii="David" w:hAnsi="David" w:cs="David"/>
          <w:b/>
          <w:bCs/>
          <w:sz w:val="24"/>
          <w:u w:val="single"/>
          <w:rtl/>
        </w:rPr>
        <w:t xml:space="preserve">הדין הרבני כי בסמכותו לדון בסוגיה זו מכוח כריכתה בתביעת הגירושין. </w:t>
      </w:r>
      <w:r w:rsidRPr="00B07582">
        <w:rPr>
          <w:rFonts w:ascii="David" w:hAnsi="David" w:cs="David"/>
          <w:b/>
          <w:bCs/>
          <w:sz w:val="24"/>
          <w:rtl/>
        </w:rPr>
        <w:t>במקרה זה החלטתו של בית</w:t>
      </w:r>
      <w:r w:rsidRPr="00B07582">
        <w:rPr>
          <w:rFonts w:ascii="David" w:hAnsi="David" w:cs="David"/>
          <w:b/>
          <w:bCs/>
          <w:position w:val="4"/>
          <w:sz w:val="24"/>
          <w:rtl/>
        </w:rPr>
        <w:t>-</w:t>
      </w:r>
      <w:r w:rsidRPr="00B07582">
        <w:rPr>
          <w:rFonts w:ascii="David" w:hAnsi="David" w:cs="David"/>
          <w:b/>
          <w:bCs/>
          <w:sz w:val="24"/>
          <w:rtl/>
        </w:rPr>
        <w:t xml:space="preserve">הדין לוקה בפגם שיש בו כדי להביא לבטלותה (ראו: </w:t>
      </w:r>
      <w:hyperlink r:id="rId10" w:history="1">
        <w:r w:rsidRPr="00B07582">
          <w:rPr>
            <w:rStyle w:val="Hyperlink"/>
            <w:rFonts w:ascii="David" w:hAnsi="David" w:cs="David"/>
            <w:b/>
            <w:bCs/>
            <w:sz w:val="24"/>
            <w:rtl/>
          </w:rPr>
          <w:t>בר"ע 120/69</w:t>
        </w:r>
      </w:hyperlink>
      <w:r w:rsidRPr="00B07582">
        <w:rPr>
          <w:rFonts w:ascii="David" w:hAnsi="David" w:cs="David"/>
          <w:b/>
          <w:bCs/>
          <w:sz w:val="24"/>
          <w:rtl/>
        </w:rPr>
        <w:t xml:space="preserve"> שרגאי נ' שרגאי [25], בעמ' 176; </w:t>
      </w:r>
      <w:hyperlink r:id="rId11" w:history="1">
        <w:r w:rsidRPr="00B07582">
          <w:rPr>
            <w:rStyle w:val="Hyperlink"/>
            <w:rFonts w:ascii="David" w:hAnsi="David" w:cs="David"/>
            <w:b/>
            <w:bCs/>
            <w:sz w:val="24"/>
            <w:rtl/>
          </w:rPr>
          <w:t>ע"א 404/70</w:t>
        </w:r>
      </w:hyperlink>
      <w:r w:rsidRPr="00B07582">
        <w:rPr>
          <w:rFonts w:ascii="David" w:hAnsi="David" w:cs="David"/>
          <w:b/>
          <w:bCs/>
          <w:sz w:val="24"/>
          <w:rtl/>
        </w:rPr>
        <w:t xml:space="preserve"> עברון נ' עברון [26], בעמ' 378-377). רק במקרים חריגים ומצומצמים כגון אלה מתקיים "טעם מיוחד" המצדיק כי הערכאה השנייה תיזקק לטענות הנוגעות לסמכותה לדון בתביעה שבפניה על</w:t>
      </w:r>
      <w:r w:rsidRPr="00B07582">
        <w:rPr>
          <w:rFonts w:ascii="David" w:hAnsi="David" w:cs="David"/>
          <w:b/>
          <w:bCs/>
          <w:position w:val="4"/>
          <w:sz w:val="24"/>
          <w:rtl/>
        </w:rPr>
        <w:t>-</w:t>
      </w:r>
      <w:r w:rsidRPr="00B07582">
        <w:rPr>
          <w:rFonts w:ascii="David" w:hAnsi="David" w:cs="David"/>
          <w:b/>
          <w:bCs/>
          <w:sz w:val="24"/>
          <w:rtl/>
        </w:rPr>
        <w:t xml:space="preserve">אף קיומה של </w:t>
      </w:r>
      <w:r w:rsidRPr="00B07582">
        <w:rPr>
          <w:rFonts w:ascii="David" w:hAnsi="David" w:cs="David"/>
          <w:b/>
          <w:bCs/>
          <w:sz w:val="24"/>
          <w:rtl/>
        </w:rPr>
        <w:lastRenderedPageBreak/>
        <w:t xml:space="preserve">הכרעה סותרת בנוגע לסמכות (השוו: </w:t>
      </w:r>
      <w:hyperlink r:id="rId12" w:history="1">
        <w:r w:rsidRPr="00B07582">
          <w:rPr>
            <w:rStyle w:val="Hyperlink"/>
            <w:rFonts w:ascii="David" w:hAnsi="David" w:cs="David"/>
            <w:b/>
            <w:bCs/>
            <w:sz w:val="24"/>
            <w:rtl/>
          </w:rPr>
          <w:t>בד"מ 1/81</w:t>
        </w:r>
      </w:hyperlink>
      <w:r w:rsidRPr="00B07582">
        <w:rPr>
          <w:rFonts w:ascii="David" w:hAnsi="David" w:cs="David"/>
          <w:b/>
          <w:bCs/>
          <w:sz w:val="24"/>
          <w:rtl/>
        </w:rPr>
        <w:t xml:space="preserve"> נגר הנ"ל [9], בעמ' 400; </w:t>
      </w:r>
      <w:hyperlink r:id="rId13" w:history="1">
        <w:r w:rsidRPr="00B07582">
          <w:rPr>
            <w:rStyle w:val="Hyperlink"/>
            <w:rFonts w:ascii="David" w:hAnsi="David" w:cs="David"/>
            <w:b/>
            <w:bCs/>
            <w:sz w:val="24"/>
            <w:rtl/>
          </w:rPr>
          <w:t>ע"א 680/84</w:t>
        </w:r>
      </w:hyperlink>
      <w:r w:rsidRPr="00B07582">
        <w:rPr>
          <w:rFonts w:ascii="David" w:hAnsi="David" w:cs="David"/>
          <w:b/>
          <w:bCs/>
          <w:sz w:val="24"/>
          <w:rtl/>
        </w:rPr>
        <w:t xml:space="preserve"> שני נ' שני [27], בעמ' 447).</w:t>
      </w:r>
      <w:r>
        <w:rPr>
          <w:rFonts w:hint="cs"/>
          <w:rtl/>
        </w:rPr>
        <w:t>"</w:t>
      </w:r>
    </w:p>
    <w:p w:rsidR="006C69FA" w:rsidRPr="006C69FA" w:rsidRDefault="006C69FA" w:rsidP="006C69FA">
      <w:pPr>
        <w:pStyle w:val="ad"/>
        <w:rPr>
          <w:rFonts w:ascii="Arial" w:hAnsi="Arial"/>
          <w:noProof w:val="0"/>
          <w:rtl/>
        </w:rPr>
      </w:pPr>
    </w:p>
    <w:p w:rsidR="009813D8" w:rsidRPr="009813D8" w:rsidRDefault="009813D8" w:rsidP="009813D8">
      <w:pPr>
        <w:pStyle w:val="ad"/>
        <w:rPr>
          <w:rFonts w:ascii="Arial" w:hAnsi="Arial"/>
          <w:noProof w:val="0"/>
          <w:rtl/>
        </w:rPr>
      </w:pPr>
    </w:p>
    <w:p w:rsidR="002077F9" w:rsidRDefault="002077F9" w:rsidP="00564AF0">
      <w:pPr>
        <w:pStyle w:val="ad"/>
        <w:numPr>
          <w:ilvl w:val="0"/>
          <w:numId w:val="1"/>
        </w:numPr>
        <w:spacing w:before="240" w:after="240" w:line="360" w:lineRule="auto"/>
        <w:jc w:val="both"/>
        <w:rPr>
          <w:rFonts w:ascii="Arial" w:hAnsi="Arial"/>
          <w:b/>
          <w:bCs/>
          <w:noProof w:val="0"/>
        </w:rPr>
      </w:pPr>
      <w:r>
        <w:rPr>
          <w:rFonts w:ascii="Arial" w:hAnsi="Arial" w:hint="cs"/>
          <w:noProof w:val="0"/>
          <w:rtl/>
        </w:rPr>
        <w:t xml:space="preserve">לדברי השופט שוחט: </w:t>
      </w:r>
      <w:r w:rsidRPr="00DC574C">
        <w:rPr>
          <w:rFonts w:ascii="Arial" w:hAnsi="Arial" w:hint="cs"/>
          <w:b/>
          <w:bCs/>
          <w:noProof w:val="0"/>
          <w:rtl/>
        </w:rPr>
        <w:t>"</w:t>
      </w:r>
      <w:r w:rsidR="00681719">
        <w:rPr>
          <w:rFonts w:ascii="Arial" w:hAnsi="Arial" w:hint="cs"/>
          <w:b/>
          <w:bCs/>
          <w:noProof w:val="0"/>
          <w:rtl/>
        </w:rPr>
        <w:t>....הרי שה</w:t>
      </w:r>
      <w:r w:rsidR="00B73EB9">
        <w:rPr>
          <w:rFonts w:ascii="Arial" w:hAnsi="Arial" w:hint="cs"/>
          <w:b/>
          <w:bCs/>
          <w:noProof w:val="0"/>
          <w:rtl/>
        </w:rPr>
        <w:t xml:space="preserve"> </w:t>
      </w:r>
      <w:r w:rsidR="00681719">
        <w:rPr>
          <w:rFonts w:ascii="Arial" w:hAnsi="Arial" w:hint="cs"/>
          <w:b/>
          <w:bCs/>
          <w:noProof w:val="0"/>
          <w:rtl/>
        </w:rPr>
        <w:t xml:space="preserve">"טעם המיוחד" עולה מתוכנה: </w:t>
      </w:r>
      <w:r w:rsidRPr="00DC574C">
        <w:rPr>
          <w:rFonts w:ascii="Arial" w:hAnsi="Arial" w:hint="cs"/>
          <w:b/>
          <w:bCs/>
          <w:noProof w:val="0"/>
          <w:rtl/>
        </w:rPr>
        <w:t xml:space="preserve">מעצם הקביעה </w:t>
      </w:r>
      <w:r w:rsidR="00DC574C" w:rsidRPr="00DC574C">
        <w:rPr>
          <w:rFonts w:ascii="Arial" w:hAnsi="Arial" w:hint="cs"/>
          <w:b/>
          <w:bCs/>
          <w:noProof w:val="0"/>
          <w:rtl/>
        </w:rPr>
        <w:t xml:space="preserve">כי בסמכות בית הדין הרבני לדון בנושא שעל פניו אינו בר כריכה </w:t>
      </w:r>
      <w:r w:rsidR="00DC574C" w:rsidRPr="00DC574C">
        <w:rPr>
          <w:rFonts w:ascii="Arial" w:hAnsi="Arial"/>
          <w:b/>
          <w:bCs/>
          <w:noProof w:val="0"/>
          <w:rtl/>
        </w:rPr>
        <w:t>–</w:t>
      </w:r>
      <w:r w:rsidR="00DC574C" w:rsidRPr="00DC574C">
        <w:rPr>
          <w:rFonts w:ascii="Arial" w:hAnsi="Arial" w:hint="cs"/>
          <w:b/>
          <w:bCs/>
          <w:noProof w:val="0"/>
          <w:rtl/>
        </w:rPr>
        <w:t xml:space="preserve"> מזונות הקטינים. משכך, מצוי המקרה שבפנינו בגדר החריג שנקבע על ידי בית המשפט העליון בהלכת פלמן אימתי כלל כיבוד הערכאות לא יוחל."</w:t>
      </w:r>
    </w:p>
    <w:p w:rsidR="00D64A7C" w:rsidRPr="00681719" w:rsidRDefault="00D64A7C" w:rsidP="00D64A7C">
      <w:pPr>
        <w:pStyle w:val="ad"/>
        <w:spacing w:before="240" w:after="240" w:line="360" w:lineRule="auto"/>
        <w:jc w:val="both"/>
        <w:rPr>
          <w:rFonts w:ascii="Arial" w:hAnsi="Arial"/>
          <w:b/>
          <w:bCs/>
          <w:noProof w:val="0"/>
        </w:rPr>
      </w:pPr>
    </w:p>
    <w:p w:rsidR="005F219E" w:rsidRDefault="005F219E" w:rsidP="005F219E">
      <w:pPr>
        <w:pStyle w:val="ad"/>
        <w:numPr>
          <w:ilvl w:val="0"/>
          <w:numId w:val="5"/>
        </w:numPr>
        <w:spacing w:before="240" w:after="240" w:line="360" w:lineRule="auto"/>
        <w:jc w:val="both"/>
        <w:rPr>
          <w:rFonts w:ascii="Arial" w:hAnsi="Arial"/>
          <w:b/>
          <w:bCs/>
          <w:noProof w:val="0"/>
        </w:rPr>
      </w:pPr>
      <w:r>
        <w:rPr>
          <w:rFonts w:ascii="Arial" w:hAnsi="Arial" w:hint="cs"/>
          <w:b/>
          <w:bCs/>
          <w:noProof w:val="0"/>
          <w:rtl/>
        </w:rPr>
        <w:t>ראה גם החלטת בית המשפט למשפחה בתל אביב, כבוד השופט ליאור ברינגר בעניין תלה"מ 16368-11-22 מיום 7/2/23.</w:t>
      </w:r>
    </w:p>
    <w:p w:rsidR="005F219E" w:rsidRPr="00DC574C" w:rsidRDefault="005F219E" w:rsidP="005F219E">
      <w:pPr>
        <w:pStyle w:val="ad"/>
        <w:spacing w:before="240" w:after="240" w:line="360" w:lineRule="auto"/>
        <w:jc w:val="both"/>
        <w:rPr>
          <w:rFonts w:ascii="Arial" w:hAnsi="Arial"/>
          <w:b/>
          <w:bCs/>
          <w:noProof w:val="0"/>
        </w:rPr>
      </w:pPr>
    </w:p>
    <w:p w:rsidR="00564AF0" w:rsidRPr="00DC574C" w:rsidRDefault="00AA12F3" w:rsidP="003D7B4B">
      <w:pPr>
        <w:pStyle w:val="ad"/>
        <w:numPr>
          <w:ilvl w:val="0"/>
          <w:numId w:val="1"/>
        </w:numPr>
        <w:spacing w:before="240" w:after="240" w:line="360" w:lineRule="auto"/>
        <w:jc w:val="both"/>
        <w:rPr>
          <w:rFonts w:ascii="Arial" w:hAnsi="Arial"/>
          <w:b/>
          <w:bCs/>
          <w:noProof w:val="0"/>
          <w:u w:val="single"/>
        </w:rPr>
      </w:pPr>
      <w:r w:rsidRPr="00837404">
        <w:rPr>
          <w:rFonts w:ascii="Arial" w:hAnsi="Arial" w:hint="cs"/>
          <w:noProof w:val="0"/>
          <w:rtl/>
        </w:rPr>
        <w:t>כידוע, בית משפ</w:t>
      </w:r>
      <w:r w:rsidR="00564AF0">
        <w:rPr>
          <w:rFonts w:ascii="Arial" w:hAnsi="Arial" w:hint="cs"/>
          <w:noProof w:val="0"/>
          <w:rtl/>
        </w:rPr>
        <w:t>ט</w:t>
      </w:r>
      <w:r w:rsidRPr="00837404">
        <w:rPr>
          <w:rFonts w:ascii="Arial" w:hAnsi="Arial" w:hint="cs"/>
          <w:noProof w:val="0"/>
          <w:rtl/>
        </w:rPr>
        <w:t xml:space="preserve"> זה, כפוף לקביע</w:t>
      </w:r>
      <w:r w:rsidR="00564AF0">
        <w:rPr>
          <w:rFonts w:ascii="Arial" w:hAnsi="Arial" w:hint="cs"/>
          <w:noProof w:val="0"/>
          <w:rtl/>
        </w:rPr>
        <w:t xml:space="preserve">ותיו </w:t>
      </w:r>
      <w:r w:rsidRPr="00837404">
        <w:rPr>
          <w:rFonts w:ascii="Arial" w:hAnsi="Arial" w:hint="cs"/>
          <w:noProof w:val="0"/>
          <w:rtl/>
        </w:rPr>
        <w:t>של בית המשפט העליון, ו</w:t>
      </w:r>
      <w:r w:rsidR="00564AF0">
        <w:rPr>
          <w:rFonts w:ascii="Arial" w:hAnsi="Arial" w:hint="cs"/>
          <w:noProof w:val="0"/>
          <w:rtl/>
        </w:rPr>
        <w:t xml:space="preserve">של בית המשפט המחוזי.  </w:t>
      </w:r>
      <w:r w:rsidRPr="00837404">
        <w:rPr>
          <w:rFonts w:ascii="Arial" w:hAnsi="Arial" w:hint="cs"/>
          <w:noProof w:val="0"/>
          <w:rtl/>
        </w:rPr>
        <w:t xml:space="preserve">לפיכך, </w:t>
      </w:r>
      <w:r w:rsidRPr="00DC574C">
        <w:rPr>
          <w:rFonts w:ascii="Arial" w:hAnsi="Arial" w:hint="cs"/>
          <w:b/>
          <w:bCs/>
          <w:noProof w:val="0"/>
          <w:u w:val="single"/>
          <w:rtl/>
        </w:rPr>
        <w:t xml:space="preserve">לנוכח האמור בפסקי הדין </w:t>
      </w:r>
      <w:r w:rsidR="003D7B4B">
        <w:rPr>
          <w:rFonts w:ascii="Arial" w:hAnsi="Arial" w:hint="cs"/>
          <w:b/>
          <w:bCs/>
          <w:noProof w:val="0"/>
          <w:u w:val="single"/>
          <w:rtl/>
        </w:rPr>
        <w:t xml:space="preserve">כמפורט לעיל, </w:t>
      </w:r>
      <w:r w:rsidRPr="00DC574C">
        <w:rPr>
          <w:rFonts w:ascii="Arial" w:hAnsi="Arial" w:hint="cs"/>
          <w:b/>
          <w:bCs/>
          <w:noProof w:val="0"/>
          <w:u w:val="single"/>
          <w:rtl/>
        </w:rPr>
        <w:t xml:space="preserve">אני קובע כי בית משפט זה מוסמך לדון בתביעת מזונות הקטינים המונחת לפניו. </w:t>
      </w:r>
    </w:p>
    <w:p w:rsidR="00564AF0" w:rsidRPr="00564AF0" w:rsidRDefault="00564AF0" w:rsidP="00564AF0">
      <w:pPr>
        <w:pStyle w:val="ad"/>
        <w:rPr>
          <w:rFonts w:ascii="Arial" w:hAnsi="Arial"/>
          <w:noProof w:val="0"/>
          <w:rtl/>
        </w:rPr>
      </w:pPr>
    </w:p>
    <w:p w:rsidR="008054F6" w:rsidRDefault="00871C0A" w:rsidP="00A44D27">
      <w:pPr>
        <w:pStyle w:val="ad"/>
        <w:numPr>
          <w:ilvl w:val="0"/>
          <w:numId w:val="1"/>
        </w:numPr>
        <w:spacing w:before="240" w:after="240" w:line="360" w:lineRule="auto"/>
        <w:jc w:val="both"/>
        <w:rPr>
          <w:rFonts w:ascii="Arial" w:hAnsi="Arial"/>
          <w:noProof w:val="0"/>
        </w:rPr>
      </w:pPr>
      <w:r w:rsidRPr="00D04A86">
        <w:rPr>
          <w:rFonts w:ascii="Arial" w:hAnsi="Arial" w:hint="cs"/>
          <w:b/>
          <w:bCs/>
          <w:noProof w:val="0"/>
          <w:u w:val="single"/>
          <w:rtl/>
        </w:rPr>
        <w:t>סוגיית הסמכות המקומית</w:t>
      </w:r>
      <w:r w:rsidR="00D04A86">
        <w:rPr>
          <w:rFonts w:ascii="Arial" w:hAnsi="Arial" w:hint="cs"/>
          <w:noProof w:val="0"/>
          <w:rtl/>
        </w:rPr>
        <w:t xml:space="preserve"> - </w:t>
      </w:r>
      <w:r w:rsidRPr="00564AF0">
        <w:rPr>
          <w:rFonts w:ascii="Arial" w:hAnsi="Arial" w:hint="cs"/>
          <w:noProof w:val="0"/>
          <w:rtl/>
        </w:rPr>
        <w:t xml:space="preserve">לנוכח הטענה כי מקום מגוריהם האחרון של הצדדים בקרית אתא, </w:t>
      </w:r>
      <w:r w:rsidR="00433B75">
        <w:rPr>
          <w:rFonts w:ascii="Arial" w:hAnsi="Arial" w:hint="cs"/>
          <w:noProof w:val="0"/>
          <w:rtl/>
        </w:rPr>
        <w:t>על המבקשת ל</w:t>
      </w:r>
      <w:r w:rsidRPr="00564AF0">
        <w:rPr>
          <w:rFonts w:ascii="Arial" w:hAnsi="Arial" w:hint="cs"/>
          <w:noProof w:val="0"/>
          <w:rtl/>
        </w:rPr>
        <w:t xml:space="preserve">הודיע, בתוך 7 ימים, מדוע היא סבורה כי הסמכות המקומית נתונה לבית משפט זה.  </w:t>
      </w:r>
      <w:bookmarkStart w:id="5" w:name="_GoBack"/>
      <w:bookmarkEnd w:id="5"/>
    </w:p>
    <w:p w:rsidR="00F46A2B" w:rsidRPr="00A44D27" w:rsidRDefault="00F46A2B" w:rsidP="00F46A2B">
      <w:pPr>
        <w:pStyle w:val="ad"/>
        <w:rPr>
          <w:rFonts w:ascii="Arial" w:hAnsi="Arial"/>
          <w:noProof w:val="0"/>
          <w:rtl/>
        </w:rPr>
      </w:pPr>
    </w:p>
    <w:p w:rsidR="00F46A2B" w:rsidRDefault="00F46A2B" w:rsidP="00F46A2B">
      <w:pPr>
        <w:pStyle w:val="ad"/>
        <w:numPr>
          <w:ilvl w:val="0"/>
          <w:numId w:val="1"/>
        </w:numPr>
        <w:spacing w:before="240" w:after="240" w:line="360" w:lineRule="auto"/>
        <w:jc w:val="both"/>
        <w:rPr>
          <w:rFonts w:ascii="Arial" w:hAnsi="Arial"/>
          <w:noProof w:val="0"/>
        </w:rPr>
      </w:pPr>
      <w:r>
        <w:rPr>
          <w:rFonts w:ascii="Arial" w:hAnsi="Arial" w:hint="cs"/>
          <w:noProof w:val="0"/>
          <w:rtl/>
        </w:rPr>
        <w:t>החלטה זו מותרת לפרסום תוך השמטת פרטים מזהים.</w:t>
      </w:r>
    </w:p>
    <w:p w:rsidR="00D04A86" w:rsidRPr="00D04A86" w:rsidRDefault="00D04A86" w:rsidP="00D04A86">
      <w:pPr>
        <w:pStyle w:val="ad"/>
        <w:rPr>
          <w:rFonts w:ascii="Arial" w:hAnsi="Arial"/>
          <w:noProof w:val="0"/>
          <w:rtl/>
        </w:rPr>
      </w:pPr>
    </w:p>
    <w:p w:rsidR="00D04A86" w:rsidRPr="00705F51" w:rsidRDefault="00D04A86" w:rsidP="00D04A86">
      <w:pPr>
        <w:spacing w:before="240" w:after="240" w:line="360" w:lineRule="auto"/>
        <w:jc w:val="both"/>
        <w:rPr>
          <w:rFonts w:ascii="Arial" w:hAnsi="Arial"/>
          <w:b/>
          <w:bCs/>
          <w:noProof w:val="0"/>
          <w:u w:val="single"/>
          <w:rtl/>
        </w:rPr>
      </w:pPr>
      <w:r w:rsidRPr="00705F51">
        <w:rPr>
          <w:rFonts w:ascii="Arial" w:hAnsi="Arial" w:hint="cs"/>
          <w:b/>
          <w:bCs/>
          <w:noProof w:val="0"/>
          <w:u w:val="single"/>
          <w:rtl/>
        </w:rPr>
        <w:t>המזכירות תמציא לצדדים ותעדכן יומני בהתאם.</w:t>
      </w:r>
    </w:p>
    <w:p w:rsidR="00694556" w:rsidRDefault="0043502B" w:rsidP="00D04A86">
      <w:pPr>
        <w:spacing w:before="240" w:after="24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יוני 2023</w:t>
          </w:r>
        </w:sdtContent>
      </w:sdt>
      <w:r w:rsidR="00005C8B">
        <w:rPr>
          <w:rFonts w:ascii="Arial" w:hAnsi="Arial"/>
          <w:noProof w:val="0"/>
          <w:rtl/>
        </w:rPr>
        <w:t>, בהעדר הצדדים.</w:t>
      </w:r>
    </w:p>
    <w:p w:rsidR="00C43648" w:rsidRDefault="00A723C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70890226"/>
        </w:sdtPr>
        <w:sdtEndPr/>
        <w:sdtContent>
          <w:r w:rsidR="0056556D">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5"/>
      <w:footerReference w:type="defaul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3C9" w:rsidRDefault="00A723C9">
      <w:r>
        <w:separator/>
      </w:r>
    </w:p>
  </w:endnote>
  <w:endnote w:type="continuationSeparator" w:id="0">
    <w:p w:rsidR="00A723C9" w:rsidRDefault="00A7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59A4">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59A4">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3C9" w:rsidRDefault="00A723C9">
      <w:r>
        <w:separator/>
      </w:r>
    </w:p>
  </w:footnote>
  <w:footnote w:type="continuationSeparator" w:id="0">
    <w:p w:rsidR="00A723C9" w:rsidRDefault="00A7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723C9" w:rsidP="007D45E3">
          <w:pPr>
            <w:rPr>
              <w:b/>
              <w:bCs/>
              <w:noProof w:val="0"/>
              <w:sz w:val="26"/>
              <w:szCs w:val="26"/>
              <w:rtl/>
            </w:rPr>
          </w:pPr>
          <w:sdt>
            <w:sdtPr>
              <w:rPr>
                <w:rtl/>
              </w:rPr>
              <w:alias w:val="1170"/>
              <w:tag w:val="1170"/>
              <w:id w:val="1066377040"/>
              <w:text w:multiLine="1"/>
            </w:sdtPr>
            <w:sdtEndPr/>
            <w:sdtContent>
              <w:r w:rsidR="005301F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5301FE">
                <w:rPr>
                  <w:b/>
                  <w:bCs/>
                  <w:noProof w:val="0"/>
                  <w:sz w:val="26"/>
                  <w:szCs w:val="26"/>
                  <w:rtl/>
                </w:rPr>
                <w:t>47817-03-23</w:t>
              </w:r>
            </w:sdtContent>
          </w:sdt>
          <w:r w:rsidR="00005C8B">
            <w:rPr>
              <w:b/>
              <w:bCs/>
              <w:noProof w:val="0"/>
              <w:sz w:val="26"/>
              <w:szCs w:val="26"/>
              <w:rtl/>
            </w:rPr>
            <w:t xml:space="preserve"> </w:t>
          </w:r>
          <w:sdt>
            <w:sdtPr>
              <w:rPr>
                <w:rtl/>
              </w:rPr>
              <w:alias w:val="1172"/>
              <w:tag w:val="1172"/>
              <w:id w:val="-595170033"/>
              <w:text w:multiLine="1"/>
            </w:sdtPr>
            <w:sdtEndPr/>
            <w:sdtContent>
              <w:r w:rsidR="0056556D">
                <w:rPr>
                  <w:rFonts w:hint="cs"/>
                  <w:b/>
                  <w:bCs/>
                  <w:noProof w:val="0"/>
                  <w:sz w:val="26"/>
                  <w:szCs w:val="26"/>
                  <w:rtl/>
                </w:rPr>
                <w:t xml:space="preserve">פלונית </w:t>
              </w:r>
              <w:r w:rsidR="0056556D">
                <w:rPr>
                  <w:b/>
                  <w:bCs/>
                  <w:noProof w:val="0"/>
                  <w:sz w:val="26"/>
                  <w:szCs w:val="26"/>
                  <w:rtl/>
                </w:rPr>
                <w:t xml:space="preserve"> נ' </w:t>
              </w:r>
              <w:r w:rsidR="0056556D">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73A51"/>
    <w:multiLevelType w:val="hybridMultilevel"/>
    <w:tmpl w:val="780E0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D96BE5"/>
    <w:multiLevelType w:val="hybridMultilevel"/>
    <w:tmpl w:val="D4B85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5B11D14"/>
    <w:multiLevelType w:val="hybridMultilevel"/>
    <w:tmpl w:val="EC02D08A"/>
    <w:lvl w:ilvl="0" w:tplc="3C24B6B0">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6360200"/>
    <w:multiLevelType w:val="hybridMultilevel"/>
    <w:tmpl w:val="622E1E1A"/>
    <w:lvl w:ilvl="0" w:tplc="23F61540">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0999"/>
    <w:rsid w:val="000229A1"/>
    <w:rsid w:val="00040598"/>
    <w:rsid w:val="000529D2"/>
    <w:rsid w:val="000564AB"/>
    <w:rsid w:val="00064FBD"/>
    <w:rsid w:val="00082AB2"/>
    <w:rsid w:val="000906FE"/>
    <w:rsid w:val="00096AF7"/>
    <w:rsid w:val="000B344B"/>
    <w:rsid w:val="000C3B0F"/>
    <w:rsid w:val="000C3B60"/>
    <w:rsid w:val="000E0DD2"/>
    <w:rsid w:val="000E3AF1"/>
    <w:rsid w:val="000F0BC8"/>
    <w:rsid w:val="000F0DD6"/>
    <w:rsid w:val="0010262B"/>
    <w:rsid w:val="00107E6D"/>
    <w:rsid w:val="0011194C"/>
    <w:rsid w:val="00112421"/>
    <w:rsid w:val="0011424C"/>
    <w:rsid w:val="001173C6"/>
    <w:rsid w:val="001367BC"/>
    <w:rsid w:val="00144D2A"/>
    <w:rsid w:val="0014653E"/>
    <w:rsid w:val="00180519"/>
    <w:rsid w:val="00191C82"/>
    <w:rsid w:val="001A6279"/>
    <w:rsid w:val="001C1CA6"/>
    <w:rsid w:val="001C4003"/>
    <w:rsid w:val="001D4DBF"/>
    <w:rsid w:val="001E75CA"/>
    <w:rsid w:val="00203E83"/>
    <w:rsid w:val="002077F9"/>
    <w:rsid w:val="00216F64"/>
    <w:rsid w:val="002265FF"/>
    <w:rsid w:val="00234943"/>
    <w:rsid w:val="00271B56"/>
    <w:rsid w:val="0027292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83AE9"/>
    <w:rsid w:val="003A4521"/>
    <w:rsid w:val="003C0395"/>
    <w:rsid w:val="003D1C8C"/>
    <w:rsid w:val="003D7B4B"/>
    <w:rsid w:val="0040096C"/>
    <w:rsid w:val="00414F1F"/>
    <w:rsid w:val="0043125D"/>
    <w:rsid w:val="00433B75"/>
    <w:rsid w:val="0043502B"/>
    <w:rsid w:val="004443AC"/>
    <w:rsid w:val="00444B02"/>
    <w:rsid w:val="00451E28"/>
    <w:rsid w:val="004564BC"/>
    <w:rsid w:val="00462C62"/>
    <w:rsid w:val="00465D36"/>
    <w:rsid w:val="004C17EE"/>
    <w:rsid w:val="004C4BDF"/>
    <w:rsid w:val="004D1187"/>
    <w:rsid w:val="004D3AA0"/>
    <w:rsid w:val="004D49BD"/>
    <w:rsid w:val="004D61A2"/>
    <w:rsid w:val="004E1987"/>
    <w:rsid w:val="004E2E15"/>
    <w:rsid w:val="004E6E3C"/>
    <w:rsid w:val="00520898"/>
    <w:rsid w:val="00523621"/>
    <w:rsid w:val="00524986"/>
    <w:rsid w:val="005268F6"/>
    <w:rsid w:val="005301FE"/>
    <w:rsid w:val="00534284"/>
    <w:rsid w:val="00547DB7"/>
    <w:rsid w:val="00564AF0"/>
    <w:rsid w:val="0056556D"/>
    <w:rsid w:val="00575BC0"/>
    <w:rsid w:val="005F219E"/>
    <w:rsid w:val="005F4F09"/>
    <w:rsid w:val="0061431B"/>
    <w:rsid w:val="00622BAA"/>
    <w:rsid w:val="006306CF"/>
    <w:rsid w:val="00644E9A"/>
    <w:rsid w:val="00660F6E"/>
    <w:rsid w:val="00671BD5"/>
    <w:rsid w:val="006805C1"/>
    <w:rsid w:val="00681719"/>
    <w:rsid w:val="00686C21"/>
    <w:rsid w:val="006931C1"/>
    <w:rsid w:val="00694556"/>
    <w:rsid w:val="006C30C5"/>
    <w:rsid w:val="006C4820"/>
    <w:rsid w:val="006C69FA"/>
    <w:rsid w:val="006D3B31"/>
    <w:rsid w:val="006E0D96"/>
    <w:rsid w:val="006E1A53"/>
    <w:rsid w:val="006F56E6"/>
    <w:rsid w:val="00704EDA"/>
    <w:rsid w:val="00705F51"/>
    <w:rsid w:val="00721122"/>
    <w:rsid w:val="00753019"/>
    <w:rsid w:val="00754801"/>
    <w:rsid w:val="00761441"/>
    <w:rsid w:val="00795365"/>
    <w:rsid w:val="007A351D"/>
    <w:rsid w:val="007B7765"/>
    <w:rsid w:val="007C5BDD"/>
    <w:rsid w:val="007D45E3"/>
    <w:rsid w:val="007E6115"/>
    <w:rsid w:val="007F4609"/>
    <w:rsid w:val="008054F6"/>
    <w:rsid w:val="00814468"/>
    <w:rsid w:val="008176A1"/>
    <w:rsid w:val="00820005"/>
    <w:rsid w:val="0083055C"/>
    <w:rsid w:val="00837404"/>
    <w:rsid w:val="00844318"/>
    <w:rsid w:val="0086061C"/>
    <w:rsid w:val="00863F5D"/>
    <w:rsid w:val="00870890"/>
    <w:rsid w:val="00871C0A"/>
    <w:rsid w:val="00873602"/>
    <w:rsid w:val="00875D12"/>
    <w:rsid w:val="00881CCE"/>
    <w:rsid w:val="0088256C"/>
    <w:rsid w:val="0088479D"/>
    <w:rsid w:val="00896889"/>
    <w:rsid w:val="00897DAF"/>
    <w:rsid w:val="008C5714"/>
    <w:rsid w:val="008D10B2"/>
    <w:rsid w:val="00903896"/>
    <w:rsid w:val="009059A4"/>
    <w:rsid w:val="00906F3D"/>
    <w:rsid w:val="00922D82"/>
    <w:rsid w:val="0094424E"/>
    <w:rsid w:val="00955642"/>
    <w:rsid w:val="009622DF"/>
    <w:rsid w:val="0096493F"/>
    <w:rsid w:val="00967DFF"/>
    <w:rsid w:val="009813D8"/>
    <w:rsid w:val="00994341"/>
    <w:rsid w:val="00996935"/>
    <w:rsid w:val="00997375"/>
    <w:rsid w:val="009B5547"/>
    <w:rsid w:val="009D1A48"/>
    <w:rsid w:val="009E1CE7"/>
    <w:rsid w:val="009E4EA5"/>
    <w:rsid w:val="009F164B"/>
    <w:rsid w:val="009F323C"/>
    <w:rsid w:val="00A3392B"/>
    <w:rsid w:val="00A43DB6"/>
    <w:rsid w:val="00A44D27"/>
    <w:rsid w:val="00A54B42"/>
    <w:rsid w:val="00A723C9"/>
    <w:rsid w:val="00A85E34"/>
    <w:rsid w:val="00A906B1"/>
    <w:rsid w:val="00A94B64"/>
    <w:rsid w:val="00AA12F3"/>
    <w:rsid w:val="00AA3229"/>
    <w:rsid w:val="00AA7596"/>
    <w:rsid w:val="00AB5E52"/>
    <w:rsid w:val="00AC1527"/>
    <w:rsid w:val="00AC30D6"/>
    <w:rsid w:val="00AC3B02"/>
    <w:rsid w:val="00AC3B7B"/>
    <w:rsid w:val="00AC5209"/>
    <w:rsid w:val="00AE0E34"/>
    <w:rsid w:val="00AE729E"/>
    <w:rsid w:val="00AE7752"/>
    <w:rsid w:val="00AF1D38"/>
    <w:rsid w:val="00AF7FDA"/>
    <w:rsid w:val="00B07582"/>
    <w:rsid w:val="00B1364D"/>
    <w:rsid w:val="00B5356E"/>
    <w:rsid w:val="00B73EB9"/>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86"/>
    <w:rsid w:val="00D04AA4"/>
    <w:rsid w:val="00D27982"/>
    <w:rsid w:val="00D33B86"/>
    <w:rsid w:val="00D44968"/>
    <w:rsid w:val="00D45EB2"/>
    <w:rsid w:val="00D53924"/>
    <w:rsid w:val="00D55D0C"/>
    <w:rsid w:val="00D64A7C"/>
    <w:rsid w:val="00D96D8C"/>
    <w:rsid w:val="00DA6649"/>
    <w:rsid w:val="00DC1259"/>
    <w:rsid w:val="00DC1BD2"/>
    <w:rsid w:val="00DC2571"/>
    <w:rsid w:val="00DC487C"/>
    <w:rsid w:val="00DC574C"/>
    <w:rsid w:val="00DE1E7D"/>
    <w:rsid w:val="00DE6BF6"/>
    <w:rsid w:val="00E04E84"/>
    <w:rsid w:val="00E1068A"/>
    <w:rsid w:val="00E1594A"/>
    <w:rsid w:val="00E25884"/>
    <w:rsid w:val="00E25B55"/>
    <w:rsid w:val="00E31C2B"/>
    <w:rsid w:val="00E5426A"/>
    <w:rsid w:val="00E54642"/>
    <w:rsid w:val="00E54CD9"/>
    <w:rsid w:val="00E80CBE"/>
    <w:rsid w:val="00E962E3"/>
    <w:rsid w:val="00EB6C79"/>
    <w:rsid w:val="00EC37E9"/>
    <w:rsid w:val="00ED77CD"/>
    <w:rsid w:val="00F038D8"/>
    <w:rsid w:val="00F06995"/>
    <w:rsid w:val="00F13623"/>
    <w:rsid w:val="00F44D1D"/>
    <w:rsid w:val="00F46A2B"/>
    <w:rsid w:val="00F84B6D"/>
    <w:rsid w:val="00F957E8"/>
    <w:rsid w:val="00F97A06"/>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Ruller4">
    <w:name w:val="Ruller4 תו"/>
    <w:link w:val="Ruller40"/>
    <w:locked/>
    <w:rsid w:val="00922D82"/>
    <w:rPr>
      <w:rFonts w:ascii="Arial TUR" w:hAnsi="Arial TUR" w:cs="FrankRuehl"/>
      <w:spacing w:val="10"/>
      <w:sz w:val="22"/>
      <w:szCs w:val="28"/>
    </w:rPr>
  </w:style>
  <w:style w:type="paragraph" w:customStyle="1" w:styleId="Ruller40">
    <w:name w:val="Ruller4"/>
    <w:basedOn w:val="a"/>
    <w:link w:val="Ruller4"/>
    <w:rsid w:val="00922D82"/>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922D82"/>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AA12F3"/>
    <w:rPr>
      <w:color w:val="0000FF"/>
      <w:u w:val="single"/>
    </w:rPr>
  </w:style>
  <w:style w:type="paragraph" w:styleId="ad">
    <w:name w:val="List Paragraph"/>
    <w:basedOn w:val="a"/>
    <w:uiPriority w:val="34"/>
    <w:qFormat/>
    <w:rsid w:val="00AA12F3"/>
    <w:pPr>
      <w:ind w:left="720"/>
      <w:contextualSpacing/>
    </w:pPr>
  </w:style>
  <w:style w:type="paragraph" w:customStyle="1" w:styleId="ae">
    <w:name w:val="כללי"/>
    <w:basedOn w:val="a"/>
    <w:rsid w:val="00B07582"/>
    <w:pPr>
      <w:overflowPunct w:val="0"/>
      <w:autoSpaceDE w:val="0"/>
      <w:autoSpaceDN w:val="0"/>
      <w:adjustRightInd w:val="0"/>
      <w:spacing w:after="240" w:line="280" w:lineRule="exact"/>
      <w:ind w:firstLine="284"/>
      <w:jc w:val="both"/>
    </w:pPr>
    <w:rPr>
      <w:rFonts w:cs="FrankRuehl"/>
      <w:noProof w:val="0"/>
      <w:sz w:val="20"/>
      <w:lang w:eastAsia="he-IL"/>
    </w:rPr>
  </w:style>
  <w:style w:type="character" w:customStyle="1" w:styleId="default">
    <w:name w:val="default"/>
    <w:rsid w:val="00DC574C"/>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06525">
      <w:bodyDiv w:val="1"/>
      <w:marLeft w:val="0"/>
      <w:marRight w:val="0"/>
      <w:marTop w:val="0"/>
      <w:marBottom w:val="0"/>
      <w:divBdr>
        <w:top w:val="none" w:sz="0" w:space="0" w:color="auto"/>
        <w:left w:val="none" w:sz="0" w:space="0" w:color="auto"/>
        <w:bottom w:val="none" w:sz="0" w:space="0" w:color="auto"/>
        <w:right w:val="none" w:sz="0" w:space="0" w:color="auto"/>
      </w:divBdr>
    </w:div>
    <w:div w:id="533734813">
      <w:bodyDiv w:val="1"/>
      <w:marLeft w:val="0"/>
      <w:marRight w:val="0"/>
      <w:marTop w:val="0"/>
      <w:marBottom w:val="0"/>
      <w:divBdr>
        <w:top w:val="none" w:sz="0" w:space="0" w:color="auto"/>
        <w:left w:val="none" w:sz="0" w:space="0" w:color="auto"/>
        <w:bottom w:val="none" w:sz="0" w:space="0" w:color="auto"/>
        <w:right w:val="none" w:sz="0" w:space="0" w:color="auto"/>
      </w:divBdr>
    </w:div>
    <w:div w:id="939028070">
      <w:bodyDiv w:val="1"/>
      <w:marLeft w:val="0"/>
      <w:marRight w:val="0"/>
      <w:marTop w:val="0"/>
      <w:marBottom w:val="0"/>
      <w:divBdr>
        <w:top w:val="none" w:sz="0" w:space="0" w:color="auto"/>
        <w:left w:val="none" w:sz="0" w:space="0" w:color="auto"/>
        <w:bottom w:val="none" w:sz="0" w:space="0" w:color="auto"/>
        <w:right w:val="none" w:sz="0" w:space="0" w:color="auto"/>
      </w:divBdr>
    </w:div>
    <w:div w:id="1093893832">
      <w:bodyDiv w:val="1"/>
      <w:marLeft w:val="0"/>
      <w:marRight w:val="0"/>
      <w:marTop w:val="0"/>
      <w:marBottom w:val="0"/>
      <w:divBdr>
        <w:top w:val="none" w:sz="0" w:space="0" w:color="auto"/>
        <w:left w:val="none" w:sz="0" w:space="0" w:color="auto"/>
        <w:bottom w:val="none" w:sz="0" w:space="0" w:color="auto"/>
        <w:right w:val="none" w:sz="0" w:space="0" w:color="auto"/>
      </w:divBdr>
    </w:div>
    <w:div w:id="11833994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944120">
      <w:bodyDiv w:val="1"/>
      <w:marLeft w:val="0"/>
      <w:marRight w:val="0"/>
      <w:marTop w:val="0"/>
      <w:marBottom w:val="0"/>
      <w:divBdr>
        <w:top w:val="none" w:sz="0" w:space="0" w:color="auto"/>
        <w:left w:val="none" w:sz="0" w:space="0" w:color="auto"/>
        <w:bottom w:val="none" w:sz="0" w:space="0" w:color="auto"/>
        <w:right w:val="none" w:sz="0" w:space="0" w:color="auto"/>
      </w:divBdr>
    </w:div>
    <w:div w:id="157011493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616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06;&#1488;%20359/75" TargetMode="External"/><Relationship Id="rId13" Type="http://schemas.openxmlformats.org/officeDocument/2006/relationships/hyperlink" Target="http://www.nevo.co.il/case/17930081"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1794286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3916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links/psika/?link=&#1489;&#1512;&#1506;%20120/6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inks/psika/?link=&#1489;&#1490;&#1509;%20725/80"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5373F" w:rsidP="0015373F">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5373F" w:rsidP="0015373F">
          <w:pPr>
            <w:pStyle w:val="D290653DA13E4E738B7E725F79D7332920"/>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A79A5"/>
    <w:rsid w:val="0015373F"/>
    <w:rsid w:val="001A27E8"/>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6D09"/>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1A27E8"/>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1A27E8"/>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1A27E8"/>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1A27E8"/>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1A27E8"/>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1A27E8"/>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1A27E8"/>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1A27E8"/>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1A27E8"/>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1A27E8"/>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1A27E8"/>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1A27E8"/>
    <w:pPr>
      <w:bidi/>
      <w:spacing w:after="0" w:line="240" w:lineRule="auto"/>
    </w:pPr>
    <w:rPr>
      <w:rFonts w:ascii="Times New Roman" w:eastAsia="Times New Roman" w:hAnsi="Times New Roman" w:cs="David"/>
      <w:noProof/>
      <w:sz w:val="24"/>
      <w:szCs w:val="24"/>
    </w:rPr>
  </w:style>
  <w:style w:type="paragraph" w:customStyle="1" w:styleId="05E7DE95815641A5862D6440CD534EB08">
    <w:name w:val="05E7DE95815641A5862D6440CD534EB08"/>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8">
    <w:name w:val="CDA250771D1A45329B0F0271A03838788"/>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8">
    <w:name w:val="BAA7C8D270FD4AD58EEC53F0343E378A8"/>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8">
    <w:name w:val="29BBD408062D41728D690A1D9BD5B6028"/>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4">
    <w:name w:val="4BF33E1147BC426FAB8DAED3C8F447A24"/>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4">
    <w:name w:val="D33668F5E1424FFE90641F85E0C45E204"/>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5373F"/>
    <w:pPr>
      <w:bidi/>
      <w:spacing w:after="0" w:line="240" w:lineRule="auto"/>
    </w:pPr>
    <w:rPr>
      <w:rFonts w:ascii="Times New Roman" w:eastAsia="Times New Roman" w:hAnsi="Times New Roman" w:cs="David"/>
      <w:noProof/>
      <w:sz w:val="24"/>
      <w:szCs w:val="24"/>
    </w:rPr>
  </w:style>
  <w:style w:type="paragraph" w:customStyle="1" w:styleId="05E7DE95815641A5862D6440CD534EB09">
    <w:name w:val="05E7DE95815641A5862D6440CD534EB09"/>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9">
    <w:name w:val="CDA250771D1A45329B0F0271A03838789"/>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9">
    <w:name w:val="BAA7C8D270FD4AD58EEC53F0343E378A9"/>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9">
    <w:name w:val="29BBD408062D41728D690A1D9BD5B6029"/>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5">
    <w:name w:val="4BF33E1147BC426FAB8DAED3C8F447A25"/>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5">
    <w:name w:val="D33668F5E1424FFE90641F85E0C45E205"/>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15373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1226</Words>
  <Characters>6134</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2023-06-04T11:02:00Z</cp:lastPrinted>
  <dcterms:created xsi:type="dcterms:W3CDTF">2023-06-05T11:59:00Z</dcterms:created>
  <dcterms:modified xsi:type="dcterms:W3CDTF">2023-06-05T11:59:00Z</dcterms:modified>
</cp:coreProperties>
</file>